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32991E" w14:textId="77777777" w:rsidR="00D86D38" w:rsidRPr="00D86D38" w:rsidRDefault="00D86D38" w:rsidP="00D86D38">
      <w:pPr>
        <w:spacing w:line="360" w:lineRule="auto"/>
        <w:ind w:firstLine="426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86D3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Ольга Мілєйко, </w:t>
      </w:r>
    </w:p>
    <w:p w14:paraId="6028FAEC" w14:textId="77777777" w:rsidR="00D86D38" w:rsidRPr="00EE15DE" w:rsidRDefault="00D86D38" w:rsidP="00D86D38">
      <w:pPr>
        <w:spacing w:line="360" w:lineRule="auto"/>
        <w:ind w:firstLine="426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методист кафедри педагогіки,</w:t>
      </w:r>
    </w:p>
    <w:p w14:paraId="1F2F26A6" w14:textId="77777777" w:rsidR="00D86D38" w:rsidRPr="00D86D38" w:rsidRDefault="00D86D38" w:rsidP="00D86D38">
      <w:pPr>
        <w:spacing w:line="360" w:lineRule="auto"/>
        <w:ind w:firstLine="426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86D38">
        <w:rPr>
          <w:rFonts w:ascii="Times New Roman" w:hAnsi="Times New Roman" w:cs="Times New Roman"/>
          <w:bCs/>
          <w:sz w:val="28"/>
          <w:szCs w:val="28"/>
          <w:lang w:val="uk-UA"/>
        </w:rPr>
        <w:t>психології та менеджменту освіти</w:t>
      </w:r>
    </w:p>
    <w:p w14:paraId="6EEA6BE5" w14:textId="77777777" w:rsidR="00D70777" w:rsidRDefault="00D86D38" w:rsidP="00D86D38">
      <w:pPr>
        <w:spacing w:line="360" w:lineRule="auto"/>
        <w:ind w:firstLine="426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86D3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Миколаївський обласний інститут </w:t>
      </w:r>
    </w:p>
    <w:p w14:paraId="323A15DF" w14:textId="77777777" w:rsidR="00D70777" w:rsidRDefault="00D86D38" w:rsidP="00D70777">
      <w:pPr>
        <w:spacing w:line="360" w:lineRule="auto"/>
        <w:ind w:firstLine="426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D86D38">
        <w:rPr>
          <w:rFonts w:ascii="Times New Roman" w:hAnsi="Times New Roman" w:cs="Times New Roman"/>
          <w:bCs/>
          <w:sz w:val="28"/>
          <w:szCs w:val="28"/>
          <w:lang w:val="uk-UA"/>
        </w:rPr>
        <w:t>післядипломної педагогічної освіти</w:t>
      </w:r>
    </w:p>
    <w:p w14:paraId="7965D237" w14:textId="77777777" w:rsidR="00D70777" w:rsidRDefault="007E693C" w:rsidP="00D70777">
      <w:pPr>
        <w:spacing w:line="36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26DE1">
        <w:rPr>
          <w:rFonts w:ascii="Times New Roman" w:hAnsi="Times New Roman" w:cs="Times New Roman"/>
          <w:b/>
          <w:bCs/>
          <w:sz w:val="28"/>
          <w:szCs w:val="28"/>
          <w:lang w:val="uk-UA"/>
        </w:rPr>
        <w:t>Г</w:t>
      </w:r>
      <w:r w:rsidR="00FF59C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ЕНДЕРНА КОМПЕТЕНТНІСТЬ СУЧАСНОГО ПЕДАГОГА: ВІД </w:t>
      </w:r>
    </w:p>
    <w:p w14:paraId="523E8FC0" w14:textId="77777777" w:rsidR="00D70777" w:rsidRDefault="00FF59C0" w:rsidP="00D70777">
      <w:pPr>
        <w:spacing w:line="360" w:lineRule="auto"/>
        <w:ind w:firstLine="42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ЗАСТАРІЛИХ СТЕРЕОТИПІВ ДО РІВНИХ МОЖЛИВОСТЕЙ </w:t>
      </w:r>
    </w:p>
    <w:p w14:paraId="451D97AF" w14:textId="77777777" w:rsidR="002447BB" w:rsidRDefault="007E693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Кабінет Міністрів України своїм розпорядженням від 20 грудня 2022 року № 1163-р схвалив Стратегію впровадження гендерної рівності у</w:t>
      </w:r>
      <w:r w:rsidR="007E7B3F">
        <w:rPr>
          <w:rFonts w:ascii="Times New Roman" w:hAnsi="Times New Roman" w:cs="Times New Roman"/>
          <w:sz w:val="28"/>
          <w:szCs w:val="28"/>
          <w:lang w:val="uk-UA"/>
        </w:rPr>
        <w:t xml:space="preserve"> сфері освіти до 2030 року. Ця </w:t>
      </w:r>
      <w:r>
        <w:rPr>
          <w:rFonts w:ascii="Times New Roman" w:hAnsi="Times New Roman" w:cs="Times New Roman"/>
          <w:sz w:val="28"/>
          <w:szCs w:val="28"/>
          <w:lang w:val="uk-UA"/>
        </w:rPr>
        <w:t>Стратегія визначила базові принципи, цільові групи, с</w:t>
      </w:r>
      <w:r w:rsidR="00651CD1">
        <w:rPr>
          <w:rFonts w:ascii="Times New Roman" w:hAnsi="Times New Roman" w:cs="Times New Roman"/>
          <w:sz w:val="28"/>
          <w:szCs w:val="28"/>
          <w:lang w:val="uk-UA"/>
        </w:rPr>
        <w:t>тратегічні цілі та завдання для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реалізації державної політики щодо забезпечення рівних прав і можливостей жінок і чоловіків у сфері освіти. </w:t>
      </w:r>
    </w:p>
    <w:p w14:paraId="1B50F3BC" w14:textId="77777777" w:rsidR="002447BB" w:rsidRDefault="00651CD1">
      <w:pPr>
        <w:spacing w:after="0" w:line="360" w:lineRule="auto"/>
        <w:ind w:firstLine="426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Ознайомлення зі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 стратегічними цілями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документа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>, чіткими інструментами для професійного зр</w:t>
      </w:r>
      <w:r>
        <w:rPr>
          <w:rFonts w:ascii="Times New Roman" w:hAnsi="Times New Roman" w:cs="Times New Roman"/>
          <w:sz w:val="28"/>
          <w:szCs w:val="28"/>
          <w:lang w:val="uk-UA"/>
        </w:rPr>
        <w:t>остання та вдосконалення освіт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ого процесу </w:t>
      </w:r>
      <w:r>
        <w:rPr>
          <w:rFonts w:ascii="Times New Roman" w:hAnsi="Times New Roman" w:cs="Times New Roman"/>
          <w:sz w:val="28"/>
          <w:szCs w:val="28"/>
          <w:lang w:val="uk-UA"/>
        </w:rPr>
        <w:t>дає змогу зрозуміти подальші дії педагога</w:t>
      </w:r>
      <w:r w:rsidR="00B91B15">
        <w:rPr>
          <w:rFonts w:ascii="Times New Roman" w:hAnsi="Times New Roman" w:cs="Times New Roman"/>
          <w:sz w:val="28"/>
          <w:szCs w:val="28"/>
          <w:lang w:val="uk-UA"/>
        </w:rPr>
        <w:t xml:space="preserve"> щодо того, як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 створити сучасне, безпечне та інклюзивне освітнє середовище.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такий спосіб простежуємо ключові напрям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>и допомоги педагогічним та науково-педагогічним працівникам закладів освіти.</w:t>
      </w:r>
      <w:r w:rsidR="007E693C">
        <w:rPr>
          <w:lang w:val="uk-UA"/>
        </w:rPr>
        <w:t xml:space="preserve"> </w:t>
      </w:r>
    </w:p>
    <w:p w14:paraId="0BA34100" w14:textId="77777777" w:rsidR="00651CD1" w:rsidRDefault="007E693C" w:rsidP="00651CD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Україні принц</w:t>
      </w:r>
      <w:r w:rsidR="00651CD1">
        <w:rPr>
          <w:rFonts w:ascii="Times New Roman" w:hAnsi="Times New Roman" w:cs="Times New Roman"/>
          <w:sz w:val="28"/>
          <w:szCs w:val="28"/>
          <w:lang w:val="uk-UA"/>
        </w:rPr>
        <w:t>ипи гендерної рівності закладено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основу Нової української школи (НУШ). Проведення гендерних експертиз підручників та впровадження антидискримінаційного підходу є обов’язковими складниками державної освітньої політики, що чітко визна</w:t>
      </w:r>
      <w:r w:rsidR="00651CD1">
        <w:rPr>
          <w:rFonts w:ascii="Times New Roman" w:hAnsi="Times New Roman" w:cs="Times New Roman"/>
          <w:sz w:val="28"/>
          <w:szCs w:val="28"/>
          <w:lang w:val="uk-UA"/>
        </w:rPr>
        <w:t>чено в документі. На</w:t>
      </w:r>
      <w:r w:rsidR="00B91B15">
        <w:rPr>
          <w:rFonts w:ascii="Times New Roman" w:hAnsi="Times New Roman" w:cs="Times New Roman"/>
          <w:sz w:val="28"/>
          <w:szCs w:val="28"/>
          <w:lang w:val="uk-UA"/>
        </w:rPr>
        <w:t xml:space="preserve"> його виконання</w:t>
      </w:r>
      <w:r w:rsidR="00651CD1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операційні плани заходів на кожні наступні два роки, спеціальні курси, масові заходи, семінари, інте</w:t>
      </w:r>
      <w:r w:rsidR="00651CD1">
        <w:rPr>
          <w:rFonts w:ascii="Times New Roman" w:hAnsi="Times New Roman" w:cs="Times New Roman"/>
          <w:sz w:val="28"/>
          <w:szCs w:val="28"/>
          <w:lang w:val="uk-UA"/>
        </w:rPr>
        <w:t xml:space="preserve">рактивні заняття та «Порадники </w:t>
      </w:r>
      <w:r>
        <w:rPr>
          <w:rFonts w:ascii="Times New Roman" w:hAnsi="Times New Roman" w:cs="Times New Roman"/>
          <w:sz w:val="28"/>
          <w:szCs w:val="28"/>
          <w:lang w:val="uk-UA"/>
        </w:rPr>
        <w:t>з гендерно</w:t>
      </w:r>
      <w:r w:rsidR="00B91B15">
        <w:rPr>
          <w:rFonts w:ascii="Times New Roman" w:hAnsi="Times New Roman" w:cs="Times New Roman"/>
          <w:sz w:val="28"/>
          <w:szCs w:val="28"/>
          <w:lang w:val="uk-UA"/>
        </w:rPr>
        <w:t>ї рівності». Це</w:t>
      </w:r>
      <w:r w:rsidR="00651CD1">
        <w:rPr>
          <w:rFonts w:ascii="Times New Roman" w:hAnsi="Times New Roman" w:cs="Times New Roman"/>
          <w:sz w:val="28"/>
          <w:szCs w:val="28"/>
          <w:lang w:val="uk-UA"/>
        </w:rPr>
        <w:t xml:space="preserve"> сприяє формуванню високого рівня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гендерної чу</w:t>
      </w:r>
      <w:r w:rsidR="00651CD1">
        <w:rPr>
          <w:rFonts w:ascii="Times New Roman" w:hAnsi="Times New Roman" w:cs="Times New Roman"/>
          <w:sz w:val="28"/>
          <w:szCs w:val="28"/>
          <w:lang w:val="uk-UA"/>
        </w:rPr>
        <w:t>тливості в суспільстві та надає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фахівцям дієві інструменти для подоланн</w:t>
      </w:r>
      <w:r w:rsidR="00651CD1">
        <w:rPr>
          <w:rFonts w:ascii="Times New Roman" w:hAnsi="Times New Roman" w:cs="Times New Roman"/>
          <w:sz w:val="28"/>
          <w:szCs w:val="28"/>
          <w:lang w:val="uk-UA"/>
        </w:rPr>
        <w:t xml:space="preserve">я стереотипів і дискримінації. </w:t>
      </w:r>
    </w:p>
    <w:p w14:paraId="11015E57" w14:textId="77777777" w:rsidR="002447BB" w:rsidRDefault="00B91B15" w:rsidP="00651CD1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Для 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Операційного плану заходів </w:t>
      </w:r>
      <w:r w:rsidR="00651CD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>з реалізації у 2025–2027 роках Державної стратегії забезпечення рівних прав та можливостей жінок і чоловіків на період до 2030 року науково-пед</w:t>
      </w:r>
      <w:r w:rsidR="00BA34F5">
        <w:rPr>
          <w:rFonts w:ascii="Times New Roman" w:hAnsi="Times New Roman" w:cs="Times New Roman"/>
          <w:sz w:val="28"/>
          <w:szCs w:val="28"/>
          <w:lang w:val="uk-UA"/>
        </w:rPr>
        <w:t>агогічні та педагогічні працівники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 Миколаївського обласного інституту післядипломної педагогічної освіти розроб</w:t>
      </w:r>
      <w:r w:rsidR="00BA34F5">
        <w:rPr>
          <w:rFonts w:ascii="Times New Roman" w:hAnsi="Times New Roman" w:cs="Times New Roman"/>
          <w:sz w:val="28"/>
          <w:szCs w:val="28"/>
          <w:lang w:val="uk-UA"/>
        </w:rPr>
        <w:t>или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 програми компетентнісно й діяльнісно орієнтованих варіативних модулів: «Гендерна грамотність та гендерна культура працівників закладів освіти», «Гендерна компетентність і культура: історія та сучасність», «Інклюзивне громадянство: забезпечення прав на повагу до гідності людини», «Психологічна допомога учасникам освітнього процесу із застосуванням методів інтегративних артпрактик», «Терапевтичні ресурси для відновлення та стабілізації особистості в умовах кризи», «Інклюзивна освіта: організація, супровід, досвід упровадження, додаткова підтримка», «Стабілізація психоемоційного стану особистості методами артпедагогіки та тілесно орієнтованими технологіями», «Добробут дітей і педагогів: дієві інструменти та практики психосоціальної підтримки».</w:t>
      </w:r>
    </w:p>
    <w:p w14:paraId="7C8CF210" w14:textId="77777777" w:rsidR="002447BB" w:rsidRDefault="007E69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Актуальність кожної програми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зумовлена необхідністю трансформації освітнього середовища відповідно до сучасних українських та міжнародних стандартів, інтеграцією гендерного компонента в усі рівні навчання для забезпечення рівних прав і можливостей жінок і чоловіків, гендерної рівності, поваги до гідності особи, запобігання та протидії насильству і дискримінації, зокрема за ознакою статі, інклюзивності, а головне – розвитком гендерної культури та компетентності сучасних педагогів. </w:t>
      </w:r>
    </w:p>
    <w:p w14:paraId="462F546F" w14:textId="77777777" w:rsidR="002447BB" w:rsidRDefault="003A7A95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Використання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 терміна «гендерна компетентність» – це не просто вимога часу </w:t>
      </w:r>
      <w:r>
        <w:rPr>
          <w:rFonts w:ascii="Times New Roman" w:hAnsi="Times New Roman" w:cs="Times New Roman"/>
          <w:sz w:val="28"/>
          <w:szCs w:val="28"/>
          <w:lang w:val="uk-UA"/>
        </w:rPr>
        <w:t>чи юридична норма, а здатність у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чителя бачити в дитині </w:t>
      </w:r>
      <w:r w:rsidR="007E693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особистість </w:t>
      </w:r>
      <w:r>
        <w:rPr>
          <w:rFonts w:ascii="Times New Roman" w:hAnsi="Times New Roman" w:cs="Times New Roman"/>
          <w:sz w:val="28"/>
          <w:szCs w:val="28"/>
          <w:lang w:val="uk-UA"/>
        </w:rPr>
        <w:t>раніше, ніж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 її </w:t>
      </w:r>
      <w:r w:rsidR="007E693C">
        <w:rPr>
          <w:rFonts w:ascii="Times New Roman" w:hAnsi="Times New Roman" w:cs="Times New Roman"/>
          <w:i/>
          <w:iCs/>
          <w:sz w:val="28"/>
          <w:szCs w:val="28"/>
          <w:lang w:val="uk-UA"/>
        </w:rPr>
        <w:t>стать</w:t>
      </w:r>
      <w:r>
        <w:rPr>
          <w:rFonts w:ascii="Times New Roman" w:hAnsi="Times New Roman" w:cs="Times New Roman"/>
          <w:sz w:val="28"/>
          <w:szCs w:val="28"/>
          <w:lang w:val="uk-UA"/>
        </w:rPr>
        <w:t>, а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дже сучасний педагог – це архітектор середовища, де таланти, успіхи, перемоги не мають обмежень «для хлопчиків» чи «для дівчаток», вони можливі для кожного здобувача освіти. </w:t>
      </w:r>
    </w:p>
    <w:p w14:paraId="20C713A6" w14:textId="77777777" w:rsidR="002447BB" w:rsidRDefault="007E693C">
      <w:pPr>
        <w:spacing w:after="0" w:line="360" w:lineRule="auto"/>
        <w:ind w:firstLine="426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Набуття гендерної компетентності для вчителя </w:t>
      </w:r>
      <w:r w:rsidR="003A7A95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 не просто данина сучасним ос</w:t>
      </w:r>
      <w:r w:rsidR="003A7A95">
        <w:rPr>
          <w:rFonts w:ascii="Times New Roman" w:hAnsi="Times New Roman" w:cs="Times New Roman"/>
          <w:sz w:val="28"/>
          <w:szCs w:val="28"/>
          <w:lang w:val="uk-UA"/>
        </w:rPr>
        <w:t xml:space="preserve">вітнім трендам, а фундаментальний складник професіоналізму, що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безпосередньо впливає на якість навчання, психологічний клімат у класі та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майбутню самореалізацію учнів. Гендерна компетентність стимулює вчителів опановувати нові знання та навички для роботи з дітьми та їхніми родинами без упереджень, дає змогу краще розуміти потреби кожного учня чи учениці, незалежно від їхньої статі.</w:t>
      </w:r>
      <w:r>
        <w:rPr>
          <w:lang w:val="uk-UA"/>
        </w:rPr>
        <w:t xml:space="preserve"> </w:t>
      </w:r>
    </w:p>
    <w:p w14:paraId="10497B4F" w14:textId="77777777" w:rsidR="002447BB" w:rsidRDefault="002447BB">
      <w:pPr>
        <w:spacing w:after="0" w:line="360" w:lineRule="auto"/>
        <w:ind w:firstLine="426"/>
        <w:jc w:val="both"/>
        <w:rPr>
          <w:lang w:val="uk-UA"/>
        </w:rPr>
      </w:pPr>
    </w:p>
    <w:p w14:paraId="6E0C3B6C" w14:textId="77777777" w:rsidR="002447BB" w:rsidRDefault="007E69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hr-HR" w:eastAsia="hr-HR"/>
        </w:rPr>
        <w:drawing>
          <wp:inline distT="0" distB="0" distL="0" distR="0" wp14:anchorId="0520FF74" wp14:editId="5DF4BEFC">
            <wp:extent cx="5663319" cy="3114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b="3652"/>
                    <a:stretch/>
                  </pic:blipFill>
                  <pic:spPr bwMode="auto">
                    <a:xfrm>
                      <a:off x="0" y="0"/>
                      <a:ext cx="5720340" cy="31460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08123" w14:textId="77777777" w:rsidR="002447BB" w:rsidRDefault="003A7A95">
      <w:pPr>
        <w:spacing w:line="36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Джерело: створено</w:t>
      </w:r>
      <w:r w:rsidR="007E69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допомогою цифрових ресурсів</w:t>
      </w:r>
    </w:p>
    <w:p w14:paraId="397712ED" w14:textId="77777777" w:rsidR="002447BB" w:rsidRDefault="007E693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Педагоги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отримують</w:t>
      </w:r>
      <w:r>
        <w:rPr>
          <w:lang w:val="uk-UA"/>
        </w:rPr>
        <w:t xml:space="preserve"> </w:t>
      </w:r>
      <w:r w:rsidR="003A7A95">
        <w:rPr>
          <w:rFonts w:ascii="Times New Roman" w:hAnsi="Times New Roman" w:cs="Times New Roman"/>
          <w:sz w:val="28"/>
          <w:szCs w:val="28"/>
          <w:lang w:val="uk-UA"/>
        </w:rPr>
        <w:t>алгоритми роботи з розв’яза</w:t>
      </w:r>
      <w:r>
        <w:rPr>
          <w:rFonts w:ascii="Times New Roman" w:hAnsi="Times New Roman" w:cs="Times New Roman"/>
          <w:sz w:val="28"/>
          <w:szCs w:val="28"/>
          <w:lang w:val="uk-UA"/>
        </w:rPr>
        <w:t>ння конфліктів та виховання толерантності, запобігання дискримінації та насильству в закладах освіти. На курсах підвищення кваліфікації та компетентнісно й діяльнісно орієнтованих варіативних модулях навчаються розпізнавати та вміють зупиняти гендерно зумовлене цькування (булінг). Це стосується ситуацій, коли дитину висміюють за «нетипові» хобі чи поведінку.</w:t>
      </w:r>
      <w:r>
        <w:rPr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 як результат, після проведення певної діяльності, учні почуваються захищеними, що знижує рівень тривожності та підвищує успішність.</w:t>
      </w:r>
    </w:p>
    <w:p w14:paraId="281DE790" w14:textId="77777777" w:rsidR="002447BB" w:rsidRDefault="00947C06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Учитель із</w:t>
      </w:r>
      <w:r w:rsidRPr="00947C06">
        <w:rPr>
          <w:lang w:val="uk-UA"/>
        </w:rPr>
        <w:t xml:space="preserve"> </w:t>
      </w:r>
      <w:r w:rsidRPr="00947C06">
        <w:rPr>
          <w:rFonts w:ascii="Times New Roman" w:hAnsi="Times New Roman" w:cs="Times New Roman"/>
          <w:sz w:val="28"/>
          <w:szCs w:val="28"/>
          <w:lang w:val="uk-UA"/>
        </w:rPr>
        <w:t>гендер</w:t>
      </w:r>
      <w:r>
        <w:rPr>
          <w:rFonts w:ascii="Times New Roman" w:hAnsi="Times New Roman" w:cs="Times New Roman"/>
          <w:sz w:val="28"/>
          <w:szCs w:val="28"/>
          <w:lang w:val="uk-UA"/>
        </w:rPr>
        <w:t>ною культурою та компетентністю спонук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ає здобувачів освіти </w:t>
      </w:r>
      <w:r>
        <w:rPr>
          <w:rFonts w:ascii="Times New Roman" w:hAnsi="Times New Roman" w:cs="Times New Roman"/>
          <w:sz w:val="28"/>
          <w:szCs w:val="28"/>
          <w:lang w:val="uk-UA"/>
        </w:rPr>
        <w:t>до вживання відповідних мовних зворотів, фемінітивів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навчає 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>уникати сексистських жартів чи звернень. Це виховує в учнів культуру взаємоповаги та рівнос</w:t>
      </w:r>
      <w:r>
        <w:rPr>
          <w:rFonts w:ascii="Times New Roman" w:hAnsi="Times New Roman" w:cs="Times New Roman"/>
          <w:sz w:val="28"/>
          <w:szCs w:val="28"/>
          <w:lang w:val="uk-UA"/>
        </w:rPr>
        <w:t>ті з дитинства. Це, з нашого погляду, сприятиме</w:t>
      </w:r>
      <w:r w:rsidR="00136E93">
        <w:rPr>
          <w:rFonts w:ascii="Times New Roman" w:hAnsi="Times New Roman" w:cs="Times New Roman"/>
          <w:sz w:val="28"/>
          <w:szCs w:val="28"/>
          <w:lang w:val="uk-UA"/>
        </w:rPr>
        <w:t xml:space="preserve"> тому, що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 з кожним днем, семестром чи навчальним роком гендерна компетентність стане для 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сучасного педагога «професійними окулярами». Одягнувши їх, педагог обов’язково побачить не «клас із хлопчиків та дівчаток», а групу унікальних особистостей, кожна з яких має </w:t>
      </w:r>
      <w:r w:rsidR="00136E93">
        <w:rPr>
          <w:rFonts w:ascii="Times New Roman" w:hAnsi="Times New Roman" w:cs="Times New Roman"/>
          <w:sz w:val="28"/>
          <w:szCs w:val="28"/>
          <w:lang w:val="uk-UA"/>
        </w:rPr>
        <w:t xml:space="preserve">право на будь-яку мрію. Він не 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>ділитиме клас на групи за статями: хлопчики / дівчатка, а об’єднає їх за інтересами, захопленнями, бажаннями, можливостями.</w:t>
      </w:r>
    </w:p>
    <w:p w14:paraId="1E495482" w14:textId="77777777" w:rsidR="002447BB" w:rsidRDefault="00136E93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з батьками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 є найскладнішою частино</w:t>
      </w:r>
      <w:r>
        <w:rPr>
          <w:rFonts w:ascii="Times New Roman" w:hAnsi="Times New Roman" w:cs="Times New Roman"/>
          <w:sz w:val="28"/>
          <w:szCs w:val="28"/>
          <w:lang w:val="uk-UA"/>
        </w:rPr>
        <w:t>ю в діяльності вчителя. Важливо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 не боятися говорити про це з батьками. У такі моменти педагог сам має усвідомити різницю між статю та гендером, пояснити батькам біологічні та соціальні ролі людей. Нині вчитель / класний керівник / вихователь відіграє ключо</w:t>
      </w:r>
      <w:r>
        <w:rPr>
          <w:rFonts w:ascii="Times New Roman" w:hAnsi="Times New Roman" w:cs="Times New Roman"/>
          <w:sz w:val="28"/>
          <w:szCs w:val="28"/>
          <w:lang w:val="uk-UA"/>
        </w:rPr>
        <w:t>ву роль у профорієнтації учнів,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 старшо</w:t>
      </w:r>
      <w:r>
        <w:rPr>
          <w:rFonts w:ascii="Times New Roman" w:hAnsi="Times New Roman" w:cs="Times New Roman"/>
          <w:sz w:val="28"/>
          <w:szCs w:val="28"/>
          <w:lang w:val="uk-UA"/>
        </w:rPr>
        <w:t>класників, зокрема допомагає вихованц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>ям свідомо обрати майбутню професію відповідно до їхніх інтересів, нахилів та вимог ринку праці. В окремих педагогічних ситуація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х саме гендерна компетентність учителя 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>є інструментом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впливу. Саме чутливий педагог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 зуміє тактовно по</w:t>
      </w:r>
      <w:r>
        <w:rPr>
          <w:rFonts w:ascii="Times New Roman" w:hAnsi="Times New Roman" w:cs="Times New Roman"/>
          <w:sz w:val="28"/>
          <w:szCs w:val="28"/>
          <w:lang w:val="uk-UA"/>
        </w:rPr>
        <w:t>яснити батькам, що вибір дитини</w:t>
      </w:r>
      <w:r w:rsidR="007E693C">
        <w:rPr>
          <w:rFonts w:ascii="Times New Roman" w:hAnsi="Times New Roman" w:cs="Times New Roman"/>
          <w:sz w:val="28"/>
          <w:szCs w:val="28"/>
          <w:lang w:val="uk-UA"/>
        </w:rPr>
        <w:t xml:space="preserve"> гуртка чи професії має базуватися на таланті, а не на статі. Це допоможе уникнути сімейних конфліктів.</w:t>
      </w:r>
    </w:p>
    <w:p w14:paraId="7E3BC6DB" w14:textId="77777777" w:rsidR="002447BB" w:rsidRDefault="007E693C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hr-HR" w:eastAsia="hr-HR"/>
        </w:rPr>
        <w:drawing>
          <wp:inline distT="0" distB="0" distL="0" distR="0" wp14:anchorId="114FAC15" wp14:editId="705D6740">
            <wp:extent cx="5095611" cy="2876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17969" b="6763"/>
                    <a:stretch/>
                  </pic:blipFill>
                  <pic:spPr bwMode="auto">
                    <a:xfrm>
                      <a:off x="0" y="0"/>
                      <a:ext cx="5095611" cy="2876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C04DE" w14:textId="77777777" w:rsidR="002447BB" w:rsidRDefault="007E693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Ця робота ніби проста, але потребує високої кваліфікації вчителя, розумних психологічних підходів; містить професійну діагностику, консультації, інформування про фах та майбутнє в цій професії без гендерних с</w:t>
      </w:r>
      <w:r w:rsidR="00136E93">
        <w:rPr>
          <w:rFonts w:ascii="Times New Roman" w:hAnsi="Times New Roman" w:cs="Times New Roman"/>
          <w:sz w:val="28"/>
          <w:szCs w:val="28"/>
          <w:lang w:val="uk-UA"/>
        </w:rPr>
        <w:t>тереотипів, що спостерігаємо й нині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Гендерні упередження при виборі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професії впливають на поділ спеціальностей: «чоловічі» (технічні, керівні) та «жіночі» (соціальні, що надають послуги). Вони обмежують самореалізацію, призводять до нерівності в оплаті праці та фемінізації певних галузей, таких</w:t>
      </w:r>
      <w:r w:rsidR="00136E93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 освіта чи медицина. Подолання цих стереотипів сприяє економічному зростанню та справедливості.</w:t>
      </w:r>
    </w:p>
    <w:p w14:paraId="22837F88" w14:textId="77777777" w:rsidR="002447BB" w:rsidRDefault="007E693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Працюючи над створенн</w:t>
      </w:r>
      <w:r w:rsidR="00136E93">
        <w:rPr>
          <w:rFonts w:ascii="Times New Roman" w:hAnsi="Times New Roman" w:cs="Times New Roman"/>
          <w:sz w:val="28"/>
          <w:szCs w:val="28"/>
          <w:lang w:val="uk-UA"/>
        </w:rPr>
        <w:t>ям гендерно чутливого осередку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закладі освіти</w:t>
      </w:r>
      <w:r w:rsidR="00136E93">
        <w:rPr>
          <w:rFonts w:ascii="Times New Roman" w:hAnsi="Times New Roman" w:cs="Times New Roman"/>
          <w:sz w:val="28"/>
          <w:szCs w:val="28"/>
          <w:lang w:val="uk-UA"/>
        </w:rPr>
        <w:t xml:space="preserve"> / класі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36E93">
        <w:rPr>
          <w:rFonts w:ascii="Times New Roman" w:hAnsi="Times New Roman" w:cs="Times New Roman"/>
          <w:sz w:val="28"/>
          <w:szCs w:val="28"/>
          <w:lang w:val="uk-UA"/>
        </w:rPr>
        <w:t>де ви працюєте,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пам’ятайте: освітнє середовище «говорить» з учнями мовою плакатів, стендів, фотографій. Потурбуйтеся, щоб на стінах у шкільному коридорі чи класній кімнаті були портрети не тільки видатних чоловіків, а й портрети знаних жінок – історичні та сучасні. Розповідайте про їх</w:t>
      </w:r>
      <w:r w:rsidR="00136E93">
        <w:rPr>
          <w:rFonts w:ascii="Times New Roman" w:hAnsi="Times New Roman" w:cs="Times New Roman"/>
          <w:sz w:val="28"/>
          <w:szCs w:val="28"/>
          <w:lang w:val="uk-UA"/>
        </w:rPr>
        <w:t>ній у</w:t>
      </w:r>
      <w:r>
        <w:rPr>
          <w:rFonts w:ascii="Times New Roman" w:hAnsi="Times New Roman" w:cs="Times New Roman"/>
          <w:sz w:val="28"/>
          <w:szCs w:val="28"/>
          <w:lang w:val="uk-UA"/>
        </w:rPr>
        <w:t>несок у розвиток науки, історії, культури, що тривалі роки був просто не видимим, малопомітним. Намагайтеся зробити так, щоб навчальний та ігровий матеріал був доступний всім здобувачам освіти в кабінеті. Уникайте поділу осередків на «для дівчаток» і «для хлопчиків».</w:t>
      </w:r>
    </w:p>
    <w:p w14:paraId="29C057CE" w14:textId="77777777" w:rsidR="002447BB" w:rsidRDefault="007E693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Набувати гендерну компетентність – це важлива і водночас складна справа. Зробити це потрібно педагогам не лише для атестації чи сертифікації, а насамперед для здобувачів освіти. Вони першими відчують, що їх сприймають як особистостей, без «ярликів», вони більше стануть вам довіряти і зовсім по-іншому будуть ставитися до навчання. </w:t>
      </w:r>
    </w:p>
    <w:p w14:paraId="52F533AE" w14:textId="77777777" w:rsidR="002447BB" w:rsidRDefault="007E693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Педагогічні працівники</w:t>
      </w:r>
      <w:r w:rsidR="00BD565A">
        <w:rPr>
          <w:rFonts w:ascii="Times New Roman" w:hAnsi="Times New Roman" w:cs="Times New Roman"/>
          <w:sz w:val="28"/>
          <w:szCs w:val="28"/>
          <w:lang w:val="uk-UA"/>
        </w:rPr>
        <w:t>, незалежно від типів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закладів</w:t>
      </w:r>
      <w:r w:rsidR="00BD565A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>, насправді не тільки навчають предметів, а сво</w:t>
      </w:r>
      <w:r w:rsidR="00BD565A">
        <w:rPr>
          <w:rFonts w:ascii="Times New Roman" w:hAnsi="Times New Roman" w:cs="Times New Roman"/>
          <w:sz w:val="28"/>
          <w:szCs w:val="28"/>
          <w:lang w:val="uk-UA"/>
        </w:rPr>
        <w:t>їми діями, вчинками, знаннями 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життєвим досвідом </w:t>
      </w:r>
      <w:r w:rsidR="00BD565A">
        <w:rPr>
          <w:rFonts w:ascii="Times New Roman" w:hAnsi="Times New Roman" w:cs="Times New Roman"/>
          <w:sz w:val="28"/>
          <w:szCs w:val="28"/>
          <w:lang w:val="uk-UA"/>
        </w:rPr>
        <w:t>формують особистість.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важаємо, що лише в учителя, позбавленого </w:t>
      </w:r>
      <w:r w:rsidR="00BD565A">
        <w:rPr>
          <w:rFonts w:ascii="Times New Roman" w:hAnsi="Times New Roman" w:cs="Times New Roman"/>
          <w:sz w:val="28"/>
          <w:szCs w:val="28"/>
          <w:lang w:val="uk-UA"/>
        </w:rPr>
        <w:t xml:space="preserve">стереотипів, випускники </w:t>
      </w:r>
      <w:r>
        <w:rPr>
          <w:rFonts w:ascii="Times New Roman" w:hAnsi="Times New Roman" w:cs="Times New Roman"/>
          <w:sz w:val="28"/>
          <w:szCs w:val="28"/>
          <w:lang w:val="uk-UA"/>
        </w:rPr>
        <w:t>вільні у своїх</w:t>
      </w:r>
      <w:r w:rsidR="00BD565A">
        <w:rPr>
          <w:rFonts w:ascii="Times New Roman" w:hAnsi="Times New Roman" w:cs="Times New Roman"/>
          <w:sz w:val="28"/>
          <w:szCs w:val="28"/>
          <w:lang w:val="uk-UA"/>
        </w:rPr>
        <w:t xml:space="preserve"> мріях. Сучасні педагоги мають бу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 прикладом рівності сьогодні, щоб їх вихованці </w:t>
      </w:r>
      <w:r w:rsidR="00BD565A">
        <w:rPr>
          <w:rFonts w:ascii="Times New Roman" w:hAnsi="Times New Roman" w:cs="Times New Roman"/>
          <w:sz w:val="28"/>
          <w:szCs w:val="28"/>
          <w:lang w:val="uk-UA"/>
        </w:rPr>
        <w:t>могли змінити на краще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світ завтра.</w:t>
      </w:r>
    </w:p>
    <w:p w14:paraId="23CC7CBE" w14:textId="77777777" w:rsidR="00C26DE1" w:rsidRPr="00C26DE1" w:rsidRDefault="00C26DE1" w:rsidP="00C26DE1">
      <w:pPr>
        <w:spacing w:after="0" w:line="360" w:lineRule="auto"/>
        <w:ind w:firstLine="426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Стаття надійшла до редакції 10.04</w:t>
      </w:r>
      <w:r w:rsidRPr="00C26DE1">
        <w:rPr>
          <w:rFonts w:ascii="Times New Roman" w:hAnsi="Times New Roman" w:cs="Times New Roman"/>
          <w:sz w:val="28"/>
          <w:szCs w:val="28"/>
          <w:lang w:val="uk-UA"/>
        </w:rPr>
        <w:t xml:space="preserve">.2026 </w:t>
      </w:r>
    </w:p>
    <w:p w14:paraId="76DA5964" w14:textId="77777777" w:rsidR="00584ED3" w:rsidRDefault="00D70777" w:rsidP="00C26DE1">
      <w:pPr>
        <w:spacing w:after="0" w:line="360" w:lineRule="auto"/>
        <w:ind w:firstLine="426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Прийнято до друку: 27.05</w:t>
      </w:r>
      <w:r w:rsidR="00C26DE1" w:rsidRPr="00C26DE1">
        <w:rPr>
          <w:rFonts w:ascii="Times New Roman" w:hAnsi="Times New Roman" w:cs="Times New Roman"/>
          <w:sz w:val="28"/>
          <w:szCs w:val="28"/>
          <w:lang w:val="uk-UA"/>
        </w:rPr>
        <w:t>.2026</w:t>
      </w:r>
    </w:p>
    <w:p w14:paraId="31A43F66" w14:textId="77777777" w:rsidR="00D86D38" w:rsidRDefault="00D86D38" w:rsidP="00C26DE1">
      <w:pPr>
        <w:spacing w:after="0" w:line="360" w:lineRule="auto"/>
        <w:ind w:firstLine="426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86D38">
      <w:footerReference w:type="default" r:id="rId8"/>
      <w:pgSz w:w="11906" w:h="16838"/>
      <w:pgMar w:top="1134" w:right="850" w:bottom="1134" w:left="15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81B1E" w14:textId="77777777" w:rsidR="00377E29" w:rsidRDefault="00377E29">
      <w:pPr>
        <w:spacing w:after="0" w:line="240" w:lineRule="auto"/>
      </w:pPr>
      <w:r>
        <w:separator/>
      </w:r>
    </w:p>
  </w:endnote>
  <w:endnote w:type="continuationSeparator" w:id="0">
    <w:p w14:paraId="53D25FE3" w14:textId="77777777" w:rsidR="00377E29" w:rsidRDefault="00377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4429520"/>
      <w:docPartObj>
        <w:docPartGallery w:val="Page Numbers (Bottom of Page)"/>
        <w:docPartUnique/>
      </w:docPartObj>
    </w:sdtPr>
    <w:sdtEndPr/>
    <w:sdtContent>
      <w:p w14:paraId="19709C28" w14:textId="77777777" w:rsidR="002447BB" w:rsidRDefault="007E693C">
        <w:pPr>
          <w:pStyle w:val="af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777">
          <w:rPr>
            <w:noProof/>
          </w:rPr>
          <w:t>5</w:t>
        </w:r>
        <w:r>
          <w:fldChar w:fldCharType="end"/>
        </w:r>
      </w:p>
    </w:sdtContent>
  </w:sdt>
  <w:p w14:paraId="10237277" w14:textId="77777777" w:rsidR="002447BB" w:rsidRDefault="002447BB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E5DA05" w14:textId="77777777" w:rsidR="00377E29" w:rsidRDefault="00377E29">
      <w:pPr>
        <w:spacing w:after="0" w:line="240" w:lineRule="auto"/>
      </w:pPr>
      <w:r>
        <w:separator/>
      </w:r>
    </w:p>
  </w:footnote>
  <w:footnote w:type="continuationSeparator" w:id="0">
    <w:p w14:paraId="3FBB4EC6" w14:textId="77777777" w:rsidR="00377E29" w:rsidRDefault="00377E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7BB"/>
    <w:rsid w:val="00136E93"/>
    <w:rsid w:val="002447BB"/>
    <w:rsid w:val="002B72C7"/>
    <w:rsid w:val="00301637"/>
    <w:rsid w:val="00326582"/>
    <w:rsid w:val="00377E29"/>
    <w:rsid w:val="003A7A95"/>
    <w:rsid w:val="00552B4C"/>
    <w:rsid w:val="00584ED3"/>
    <w:rsid w:val="00651CD1"/>
    <w:rsid w:val="006D7200"/>
    <w:rsid w:val="007115FC"/>
    <w:rsid w:val="00716FD1"/>
    <w:rsid w:val="007E693C"/>
    <w:rsid w:val="007E7B3F"/>
    <w:rsid w:val="00921200"/>
    <w:rsid w:val="00947C06"/>
    <w:rsid w:val="00A34151"/>
    <w:rsid w:val="00A8239E"/>
    <w:rsid w:val="00AA1C73"/>
    <w:rsid w:val="00B91B15"/>
    <w:rsid w:val="00BA34F5"/>
    <w:rsid w:val="00BD565A"/>
    <w:rsid w:val="00C05B57"/>
    <w:rsid w:val="00C26DE1"/>
    <w:rsid w:val="00D70777"/>
    <w:rsid w:val="00D75C95"/>
    <w:rsid w:val="00D86D38"/>
    <w:rsid w:val="00EE15DE"/>
    <w:rsid w:val="00FF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C8812"/>
  <w15:docId w15:val="{EDD4B56D-AFC0-4FBA-B6C5-577BD55E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hr-HR" w:eastAsia="hr-H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2E74B5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d">
    <w:name w:val="No Spacing"/>
    <w:basedOn w:val="a"/>
    <w:uiPriority w:val="1"/>
    <w:qFormat/>
    <w:pPr>
      <w:spacing w:after="0" w:line="240" w:lineRule="auto"/>
    </w:pPr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Pr>
      <w:i/>
      <w:iCs/>
    </w:r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3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Pr>
      <w:vertAlign w:val="superscript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c">
    <w:name w:val="Placeholder Text"/>
    <w:basedOn w:val="a0"/>
    <w:uiPriority w:val="99"/>
    <w:semiHidden/>
    <w:rPr>
      <w:color w:val="666666"/>
    </w:rPr>
  </w:style>
  <w:style w:type="paragraph" w:styleId="afd">
    <w:name w:val="TOC Heading"/>
    <w:uiPriority w:val="39"/>
    <w:unhideWhenUsed/>
  </w:style>
  <w:style w:type="paragraph" w:styleId="afe">
    <w:name w:val="table of figures"/>
    <w:basedOn w:val="a"/>
    <w:next w:val="a"/>
    <w:uiPriority w:val="99"/>
    <w:unhideWhenUsed/>
    <w:pPr>
      <w:spacing w:after="0"/>
    </w:pPr>
  </w:style>
  <w:style w:type="paragraph" w:styleId="aff">
    <w:name w:val="head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</w:style>
  <w:style w:type="paragraph" w:styleId="aff1">
    <w:name w:val="footer"/>
    <w:basedOn w:val="a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</w:style>
  <w:style w:type="paragraph" w:styleId="aff3">
    <w:name w:val="Balloon Text"/>
    <w:basedOn w:val="a"/>
    <w:link w:val="aff4"/>
    <w:uiPriority w:val="99"/>
    <w:semiHidden/>
    <w:unhideWhenUsed/>
    <w:rsid w:val="007E7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7E7B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5064</Words>
  <Characters>2888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dcterms:created xsi:type="dcterms:W3CDTF">2026-03-19T11:33:00Z</dcterms:created>
  <dcterms:modified xsi:type="dcterms:W3CDTF">2026-11-03T10:27:00Z</dcterms:modified>
</cp:coreProperties>
</file>