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3F" w:rsidRPr="001F3340" w:rsidRDefault="00A91E45" w:rsidP="00C23E2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Галина Гич</w:t>
      </w:r>
    </w:p>
    <w:p w:rsidR="00791C3F" w:rsidRPr="001F3340" w:rsidRDefault="003003D8" w:rsidP="002C0C68">
      <w:pPr>
        <w:spacing w:line="240" w:lineRule="auto"/>
        <w:ind w:left="567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>кандидат педагогічних наук, доцент,</w:t>
      </w:r>
      <w:r w:rsidR="00FE2E08"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>завідувач кафедри теорії й методики мовно-літературної</w:t>
      </w:r>
      <w:r w:rsidR="00FE2E08"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1E45" w:rsidRPr="001F3340">
        <w:rPr>
          <w:rFonts w:ascii="Times New Roman" w:eastAsia="Times New Roman" w:hAnsi="Times New Roman" w:cs="Times New Roman"/>
          <w:i/>
          <w:sz w:val="24"/>
          <w:szCs w:val="24"/>
        </w:rPr>
        <w:t>та художньо-естетичної освіти</w:t>
      </w:r>
      <w:r w:rsidR="00FE2E08"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Миколаївський обласний інститут післядипломної </w:t>
      </w:r>
      <w:r w:rsidR="00A91E45" w:rsidRPr="001F3340">
        <w:rPr>
          <w:rFonts w:ascii="Times New Roman" w:eastAsia="Times New Roman" w:hAnsi="Times New Roman" w:cs="Times New Roman"/>
          <w:i/>
          <w:sz w:val="24"/>
          <w:szCs w:val="24"/>
        </w:rPr>
        <w:t>педагогічної освіти,</w:t>
      </w:r>
      <w:r w:rsidR="00FE2E08"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6" w:tgtFrame="_blank" w:history="1">
        <w:r w:rsidR="00FE2E08" w:rsidRPr="001F3340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halina.</w:t>
        </w:r>
        <w:r w:rsidR="00FE2E08" w:rsidRPr="001F3340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h</w:t>
        </w:r>
        <w:r w:rsidR="00FE2E08" w:rsidRPr="001F3340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ych@moippo.mk.ua</w:t>
        </w:r>
      </w:hyperlink>
    </w:p>
    <w:p w:rsidR="00791C3F" w:rsidRPr="001F3340" w:rsidRDefault="00791C3F" w:rsidP="00C23E2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1C3F" w:rsidRPr="001F3340" w:rsidRDefault="00FA16B7" w:rsidP="00C23E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МОДЕЛІ І СПОСОБИ ЧИТАННЯ </w:t>
      </w:r>
      <w:r w:rsidR="00AA5234" w:rsidRPr="001F3340">
        <w:rPr>
          <w:rFonts w:ascii="Times New Roman" w:eastAsia="Times New Roman" w:hAnsi="Times New Roman" w:cs="Times New Roman"/>
          <w:b/>
          <w:sz w:val="24"/>
          <w:szCs w:val="24"/>
        </w:rPr>
        <w:t>ДІТЕЙ І ПІДЛІТКІВ ХХ</w:t>
      </w:r>
      <w:r w:rsidR="001C7F5D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AA5234" w:rsidRPr="001F334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СТОЛІТТЯ</w:t>
      </w:r>
    </w:p>
    <w:p w:rsidR="00FA16B7" w:rsidRPr="001F3340" w:rsidRDefault="00FA16B7" w:rsidP="00C23E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C3F" w:rsidRPr="001F3340" w:rsidRDefault="003003D8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b/>
          <w:i/>
          <w:sz w:val="24"/>
          <w:szCs w:val="24"/>
        </w:rPr>
        <w:t>Ключові слова:</w:t>
      </w: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>квазічитання</w:t>
      </w:r>
      <w:proofErr w:type="spellEnd"/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843BB"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способи </w:t>
      </w:r>
      <w:r w:rsidR="00D650C0" w:rsidRPr="001F3340">
        <w:rPr>
          <w:rFonts w:ascii="Times New Roman" w:eastAsia="Times New Roman" w:hAnsi="Times New Roman" w:cs="Times New Roman"/>
          <w:i/>
          <w:sz w:val="24"/>
          <w:szCs w:val="24"/>
        </w:rPr>
        <w:t>і моделі читання</w:t>
      </w:r>
      <w:r w:rsidR="00B843BB" w:rsidRPr="001F3340">
        <w:rPr>
          <w:rFonts w:ascii="Times New Roman" w:eastAsia="Times New Roman" w:hAnsi="Times New Roman" w:cs="Times New Roman"/>
          <w:i/>
          <w:sz w:val="24"/>
          <w:szCs w:val="24"/>
        </w:rPr>
        <w:t>, чита</w:t>
      </w:r>
      <w:r w:rsidR="00E829FE" w:rsidRPr="001F3340">
        <w:rPr>
          <w:rFonts w:ascii="Times New Roman" w:eastAsia="Times New Roman" w:hAnsi="Times New Roman" w:cs="Times New Roman"/>
          <w:i/>
          <w:sz w:val="24"/>
          <w:szCs w:val="24"/>
        </w:rPr>
        <w:t>цькі практики</w:t>
      </w: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00EEE" w:rsidRPr="00E470D0" w:rsidRDefault="00516E11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Читання 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дітей та підлітків як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представників покоління 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Z – одна з серйозних та складних проблем сучасної психології, педагогіки та соціології читання. Саме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ці 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науки мають пояснити практикам, чим вирізняється читання дітей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 та підлітків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 і що треба зробити в умовах активного використання комп’ютерних технологій, щоб діти продовжували читати. </w:t>
      </w:r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специфіки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підлітків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неможливо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говорити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якісний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470D0" w:rsidRPr="001F3340" w:rsidRDefault="001C7F5D" w:rsidP="00E470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Нині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, коли світ неухильно рухається від </w:t>
      </w:r>
      <w:proofErr w:type="spellStart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логоцентричної</w:t>
      </w:r>
      <w:proofErr w:type="spellEnd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іконоцентричної</w:t>
      </w:r>
      <w:proofErr w:type="spellEnd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 культури, треба визнати владу картинки над владою слова і факт наявності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сучасних 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дітей не тільки практики читання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 xml:space="preserve"> традиційних книг</w:t>
      </w:r>
      <w:r w:rsidR="00E470D0">
        <w:rPr>
          <w:rFonts w:ascii="Times New Roman" w:eastAsia="Times New Roman" w:hAnsi="Times New Roman" w:cs="Times New Roman"/>
          <w:sz w:val="24"/>
          <w:szCs w:val="24"/>
        </w:rPr>
        <w:t xml:space="preserve"> («стара» модель читання)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, але й 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>активного читання з використанням електронних пристроїв</w:t>
      </w:r>
      <w:r w:rsidR="00E470D0">
        <w:rPr>
          <w:rFonts w:ascii="Times New Roman" w:eastAsia="Times New Roman" w:hAnsi="Times New Roman" w:cs="Times New Roman"/>
          <w:sz w:val="24"/>
          <w:szCs w:val="24"/>
        </w:rPr>
        <w:t xml:space="preserve"> («нова» модель читання)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51F2" w:rsidRPr="001F3340">
        <w:rPr>
          <w:rFonts w:ascii="Times New Roman" w:eastAsia="Times New Roman" w:hAnsi="Times New Roman" w:cs="Times New Roman"/>
          <w:iCs/>
          <w:sz w:val="24"/>
          <w:szCs w:val="24"/>
        </w:rPr>
        <w:t>На наших очах відбувається доместикація читання – перен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есення </w:t>
      </w:r>
      <w:r w:rsidR="004951F2"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читання з традиційних на електронні носії, цей процес формує нового читача і нові </w:t>
      </w:r>
      <w:r w:rsidR="00FA16B7"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моделі, способи і </w:t>
      </w:r>
      <w:r w:rsidR="004951F2" w:rsidRPr="001F3340">
        <w:rPr>
          <w:rFonts w:ascii="Times New Roman" w:eastAsia="Times New Roman" w:hAnsi="Times New Roman" w:cs="Times New Roman"/>
          <w:iCs/>
          <w:sz w:val="24"/>
          <w:szCs w:val="24"/>
        </w:rPr>
        <w:t>практики читання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D0" w:rsidRPr="001F33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00157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470D0" w:rsidRPr="001F3340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00157A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E470D0" w:rsidRPr="001F334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650C0" w:rsidRPr="001F3340" w:rsidRDefault="006C3E14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F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C7F5D">
        <w:rPr>
          <w:rFonts w:ascii="Times New Roman" w:eastAsia="Times New Roman" w:hAnsi="Times New Roman" w:cs="Times New Roman"/>
          <w:sz w:val="24"/>
          <w:szCs w:val="24"/>
        </w:rPr>
        <w:t>Глятач</w:t>
      </w:r>
      <w:proofErr w:type="spellEnd"/>
      <w:r w:rsidRPr="001C7F5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16B7" w:rsidRPr="001C7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ричитель</w:t>
      </w:r>
      <w:proofErr w:type="spellEnd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>рос.)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 – так влучно називає читача ХХІ століття Ігор </w:t>
      </w:r>
      <w:proofErr w:type="spellStart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Кондаков</w:t>
      </w:r>
      <w:proofErr w:type="spellEnd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8BF" w:rsidRPr="001F33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58BF" w:rsidRPr="001F3340">
        <w:rPr>
          <w:rFonts w:ascii="Times New Roman" w:eastAsia="Times New Roman" w:hAnsi="Times New Roman" w:cs="Times New Roman"/>
          <w:sz w:val="24"/>
          <w:szCs w:val="24"/>
        </w:rPr>
        <w:t>, с. 516]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6BFF" w:rsidRPr="001F33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61CD1" w:rsidRPr="001F3340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аме цей умовний термін чітко визначає особливості читання дітей </w:t>
      </w:r>
      <w:r w:rsidR="003258BF" w:rsidRPr="001F3340">
        <w:rPr>
          <w:rFonts w:ascii="Times New Roman" w:eastAsia="Times New Roman" w:hAnsi="Times New Roman" w:cs="Times New Roman"/>
          <w:sz w:val="24"/>
          <w:szCs w:val="24"/>
        </w:rPr>
        <w:t>у ХХІ столітті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. Винесення на перше місце в понятті слова «</w:t>
      </w:r>
      <w:proofErr w:type="spellStart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зритель</w:t>
      </w:r>
      <w:proofErr w:type="spellEnd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» (рос.) є не випадковим і підтверджує той факт, про що говорять і пишуть науковці: </w:t>
      </w:r>
      <w:r w:rsidR="003258BF" w:rsidRPr="001F3340">
        <w:rPr>
          <w:rFonts w:ascii="Times New Roman" w:eastAsia="Times New Roman" w:hAnsi="Times New Roman" w:cs="Times New Roman"/>
          <w:sz w:val="24"/>
          <w:szCs w:val="24"/>
        </w:rPr>
        <w:t>влада слова поступається владі картинки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. Вочевидь ідеться про зовсім іншу поведінку</w:t>
      </w:r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дітей ХХІ століття</w:t>
      </w:r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 xml:space="preserve"> як читачів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3340" w:rsidRPr="001F3340" w:rsidRDefault="001F3340" w:rsidP="001F334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>При цьому науковці здебільшого скептично оцінюють роль новітніх технологій у їх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ньому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читанні: Магдалена Фікус жорстко ставиться до інформатизації суспільства та її впливу на дітей: «…</w:t>
      </w:r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>руку замінив протез у вигляді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>клавіатури, і я починаю припускатися помилок. Це означає, що поряд зі мною росте покоління, яке не читає</w:t>
      </w:r>
      <w:r w:rsidRPr="001F33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(а в кращому </w:t>
      </w:r>
      <w:proofErr w:type="spellStart"/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>разi</w:t>
      </w:r>
      <w:proofErr w:type="spellEnd"/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замінює читання</w:t>
      </w:r>
      <w:r w:rsidRPr="001F33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>аудіокнигами</w:t>
      </w:r>
      <w:proofErr w:type="spellEnd"/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або фільмами). Це покоління скоро буде не в змозі і писати ... </w:t>
      </w:r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Напевно, зупинити ці процеси, потужні і швидкі, як потік струмка, вже неможливо. Але залишається цікаве питання: як ми будемо думати через сто років?»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00157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, с. 10 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29]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0C0" w:rsidRPr="001F3340" w:rsidRDefault="00836BFF" w:rsidP="00D650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Cучасні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діти сприймають букви, цифри, схеми, малюнки через певний технологічний пристрій – програму, яка забезпечена засобом виведення – екраном. Цей екран і замінює сучасній дитині собою багато інших предметів, зокрема – книгу. Саме цим зумовлена зміна дієслова «читати», яке сьогодні рідко є читанням-зануренням у текст, а характеризується науковцями як скролінг-</w:t>
      </w:r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 xml:space="preserve"> («перегортання» та прокручування тексту, пошук очима ключових слів)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скрімінг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>-читання</w:t>
      </w:r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 xml:space="preserve">поверхове ознайомлення з інформацією, швидкий перегляд; побіжне </w:t>
      </w:r>
      <w:proofErr w:type="spellStart"/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>переглядово</w:t>
      </w:r>
      <w:proofErr w:type="spellEnd"/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>-ознайомче читання, швидке читання, читання «по діагоналі»</w:t>
      </w:r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 xml:space="preserve">). Такі способи читання вочевидь дають нам на </w:t>
      </w:r>
      <w:proofErr w:type="spellStart"/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>уроці</w:t>
      </w:r>
      <w:proofErr w:type="spellEnd"/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 xml:space="preserve"> літератури </w:t>
      </w:r>
      <w:r w:rsidR="001F3340" w:rsidRPr="001F3340">
        <w:rPr>
          <w:rFonts w:ascii="Times New Roman" w:eastAsia="Times New Roman" w:hAnsi="Times New Roman" w:cs="Times New Roman"/>
          <w:b/>
          <w:sz w:val="24"/>
          <w:szCs w:val="24"/>
        </w:rPr>
        <w:t>зовсім іншого читача</w:t>
      </w:r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6BFF" w:rsidRPr="001C7F5D" w:rsidRDefault="00836BFF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Читання з екрана настільки відрізняється від читання з листа, що ці два види читання можна назвати принципово різними техніками. Науковці говорять про 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традиційні та нові практики читання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9BA" w:rsidRPr="001F33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00157A" w:rsidRPr="001C7F5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09BA" w:rsidRPr="001F3340">
        <w:rPr>
          <w:rFonts w:ascii="Times New Roman" w:eastAsia="Times New Roman" w:hAnsi="Times New Roman" w:cs="Times New Roman"/>
          <w:sz w:val="24"/>
          <w:szCs w:val="24"/>
        </w:rPr>
        <w:t>, с. 91]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FF" w:rsidRPr="001F3340" w:rsidRDefault="00836BFF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Саме комп’ютерні технології стали підґрунтям розвитку 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синоптичного</w:t>
      </w:r>
      <w:r w:rsidRPr="001F33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читання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, яке слід розуміти як перехресне читання кількох взаємопов’язаних текстів та/або одночасне читання кількох різних текстів (синоніми поняття: нелінійне, динамічне, розширене, 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кіберчитання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гіперчитання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). Дозволимо собі </w:t>
      </w:r>
      <w:r w:rsidR="00DD1FA7" w:rsidRPr="001F3340">
        <w:rPr>
          <w:rFonts w:ascii="Times New Roman" w:eastAsia="Times New Roman" w:hAnsi="Times New Roman" w:cs="Times New Roman"/>
          <w:sz w:val="24"/>
          <w:szCs w:val="24"/>
        </w:rPr>
        <w:t>припустити: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така практика читання навряд чи є перешкодою у сприйнятті освітніх текстів, але вона, імовірніше (бо спеціальних досліджень немає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), є перешкодою під час читання художніх текстів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, сприйняття яких насамперед базується на зануренні в текст і дає читачеві відчуття задоволення від прочитаної книги.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Оскільки,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>а думк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 науковців, сучасні діти є гедоністами, то вони не будуть активно читати наступну книгу, якщо не отримали насолоди від читання попередньої. Це ще раз підтверджує багаторічну абсолютно правильну тезу про те, що діти і підлітки чекають задоволення від читання – приблизно такого, яке вони отримують під час спілкування з різноманітними </w:t>
      </w:r>
      <w:proofErr w:type="spellStart"/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>гаджетами</w:t>
      </w:r>
      <w:proofErr w:type="spellEnd"/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. Саме «п’ять екранів» супроводжують наших дітей у житті, але кожен цей екран може стати інструментом для читання, коли смартфон використовується для читання. </w:t>
      </w:r>
    </w:p>
    <w:p w:rsidR="001637DD" w:rsidRPr="001F3340" w:rsidRDefault="00836BFF" w:rsidP="00D650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Сформовану з дитинства практику роботи з екраном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діти і підлітки як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читачі переносять на традиційні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книги і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тексти. Очевидно, що «народжені в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нтернеті» діти не можуть сприймати лінійний текст так, як попередні покоління. 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Кліпове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мислення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притаманн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ими йому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фрагментарніст</w:t>
      </w:r>
      <w:r w:rsidR="00200EEE" w:rsidRPr="001F334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, швидкіст</w:t>
      </w:r>
      <w:r w:rsidR="00200EEE" w:rsidRPr="001F334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, перестрибування</w:t>
      </w:r>
      <w:r w:rsidR="00200EEE" w:rsidRPr="001F334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з однієї картинки на іншу, 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змінює читацьку поведінку </w:t>
      </w:r>
      <w:r w:rsidR="00200EEE" w:rsidRPr="001F3340">
        <w:rPr>
          <w:rFonts w:ascii="Times New Roman" w:eastAsia="Times New Roman" w:hAnsi="Times New Roman" w:cs="Times New Roman"/>
          <w:b/>
          <w:sz w:val="24"/>
          <w:szCs w:val="24"/>
        </w:rPr>
        <w:t>дітей та підлітків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Уважне, вдумливе читання попередніх поколінь як «цифрових мігрантів» було сформоване столітніми практиками використання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саме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 лінійних текстів (дуже часто – доволі великих за обсягом). Лінійне мислення «людей книги» і </w:t>
      </w:r>
      <w:proofErr w:type="spellStart"/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>кліпове</w:t>
      </w:r>
      <w:proofErr w:type="spellEnd"/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lastRenderedPageBreak/>
        <w:t>мислення «людей екран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 це різні фізіологічні процеси (і очей – як основного інструменту читання, і мозку, який активно задіяний у процесі читання).</w:t>
      </w:r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 xml:space="preserve"> Спеціалісти говорять </w:t>
      </w:r>
      <w:proofErr w:type="spellStart"/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>квазічитання</w:t>
      </w:r>
      <w:proofErr w:type="spellEnd"/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здебільшого 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притаманне дітям та підліткам </w:t>
      </w:r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>[1]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62" w:rsidRPr="001F3340" w:rsidRDefault="00D650C0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Отож, 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>учн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і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 xml:space="preserve"> ХХ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І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 xml:space="preserve"> століття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застосовують 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>різні читацькі практики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, які розуміють як прийняті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 xml:space="preserve"> культурі традиційні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 xml:space="preserve"> нові способи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і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 xml:space="preserve"> навички використання друкованих і електронних артефактів.</w:t>
      </w:r>
    </w:p>
    <w:p w:rsidR="00165F62" w:rsidRPr="001F3340" w:rsidRDefault="00836BFF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>За способами читання виокремлюють тр</w:t>
      </w:r>
      <w:r w:rsidR="006D5AC9" w:rsidRPr="001F3340">
        <w:rPr>
          <w:rFonts w:ascii="Times New Roman" w:eastAsia="Times New Roman" w:hAnsi="Times New Roman" w:cs="Times New Roman"/>
          <w:iCs/>
          <w:sz w:val="24"/>
          <w:szCs w:val="24"/>
        </w:rPr>
        <w:t>адиційні та нові</w:t>
      </w: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практики читання. В основі традиційної практики (або моделі читання</w:t>
      </w:r>
      <w:r w:rsidR="006D5AC9" w:rsidRPr="001F3340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любов до книги як такої. Нові практики читання свідчать про поступове широке використання в читанні електронних носіїв, така</w:t>
      </w:r>
      <w:r w:rsidR="007A09BA"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>прак</w:t>
      </w:r>
      <w:r w:rsidR="001637DD" w:rsidRPr="001F3340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ика читання формує зовсім іншого читача. </w:t>
      </w:r>
    </w:p>
    <w:p w:rsidR="00F64CCA" w:rsidRPr="001F3340" w:rsidRDefault="001C7F5D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Отже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нині 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можна констатувати факт наявності двох основних моделей читацької діяльності дітей і підлітків: традиційної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нової. Обидві моделі визначають читацьку поведінку 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>учнів-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читачів, оскільки не буває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 суспільстві так, щоб будь-яка революція абсолютно знищила попередні надбання людства. Традиційна модель дитячого читання є і сьогодні, але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водночас 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>з нею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 xml:space="preserve"> сф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>ормувалас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 та розвивається </w:t>
      </w:r>
      <w:r w:rsidR="00F64CCA" w:rsidRPr="001F3340">
        <w:rPr>
          <w:rFonts w:ascii="Times New Roman" w:eastAsia="Times New Roman" w:hAnsi="Times New Roman" w:cs="Times New Roman"/>
          <w:b/>
          <w:sz w:val="24"/>
          <w:szCs w:val="24"/>
        </w:rPr>
        <w:t>нова модель читання дитячо-юнацької аудиторії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62" w:rsidRPr="001F3340" w:rsidRDefault="00C2182A" w:rsidP="00FA1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Подальший розвиток означеної теми вбачаємо в науковому розробленні та методичному впровадженні </w:t>
      </w:r>
      <w:r w:rsidRPr="00F85E25">
        <w:rPr>
          <w:rFonts w:ascii="Times New Roman" w:eastAsia="Times New Roman" w:hAnsi="Times New Roman" w:cs="Times New Roman"/>
          <w:b/>
          <w:sz w:val="24"/>
          <w:szCs w:val="24"/>
        </w:rPr>
        <w:t>трьох способів зміни читацьких практик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: артикуляції, 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реконфігурації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та запозиченні</w:t>
      </w: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 xml:space="preserve">Саме </w:t>
      </w:r>
      <w:r w:rsidR="00F92FE8">
        <w:rPr>
          <w:rFonts w:ascii="Times New Roman" w:eastAsia="Times New Roman" w:hAnsi="Times New Roman" w:cs="Times New Roman"/>
          <w:sz w:val="24"/>
          <w:szCs w:val="24"/>
        </w:rPr>
        <w:t xml:space="preserve">вони 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 xml:space="preserve">допоможуть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наявним 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 xml:space="preserve">читання 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отрим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>ати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 xml:space="preserve"> нові імена, перен</w:t>
      </w:r>
      <w:r w:rsidR="004A3536" w:rsidRPr="001F334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 xml:space="preserve">ти їх 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в інші контексти і пристосу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 xml:space="preserve">вати 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для ви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конання 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нових завдань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 xml:space="preserve"> шкільної літературної освіти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 xml:space="preserve"> Ці позиції є важливими з погляду визначення напрямів трансформації читацької поведінки дітей і підлітків, але це буде темою наступної розмови.</w:t>
      </w:r>
    </w:p>
    <w:p w:rsidR="00791C3F" w:rsidRPr="001F3340" w:rsidRDefault="00F20660" w:rsidP="00C23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F33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Лiтература</w:t>
      </w:r>
      <w:proofErr w:type="spellEnd"/>
    </w:p>
    <w:p w:rsidR="00613C4E" w:rsidRPr="001F3340" w:rsidRDefault="00613C4E" w:rsidP="001F3340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" w:name="_gjdgxs" w:colFirst="0" w:colLast="0"/>
      <w:bookmarkEnd w:id="1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Гич Г. М. Читання учнів «нової грамотності» і традиції пояснювального читання Костянтина Ушинського </w:t>
      </w:r>
      <w:r w:rsidR="001C7F5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/ Г. М. Гич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// Вересень. 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2020. 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№ 1 – 2. С. 7 – 12. </w:t>
      </w:r>
    </w:p>
    <w:p w:rsidR="0000157A" w:rsidRPr="0000157A" w:rsidRDefault="0000157A" w:rsidP="001F3340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Ершов В. Трансформации читательских практик //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Сибирское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2020 [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Электронный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ресурс</w:t>
      </w:r>
      <w:proofErr w:type="gramStart"/>
      <w:r w:rsidRPr="0000157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0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(23‒25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ноября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2017 г.) /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выпуск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: К. А. Зорин, М. Л.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Подлубная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, О. Ф.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Нескрябина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Электрон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(2,8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). –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Красноярск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ун-т, 2017. – 1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электрон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>. опт. диск. (CD-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). –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экрана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>.</w:t>
      </w:r>
    </w:p>
    <w:p w:rsidR="001F3340" w:rsidRPr="001F3340" w:rsidRDefault="001F3340" w:rsidP="001F3340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Журавльова І. К. «Ідеальний експерт», або роман з читачем: продовження триває… // Читання в епоху розвитку електронних ресурсів: книга чи Інтернет?: матеріали наук.-</w:t>
      </w:r>
      <w:proofErr w:type="spellStart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практ</w:t>
      </w:r>
      <w:proofErr w:type="spellEnd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конф</w:t>
      </w:r>
      <w:proofErr w:type="spellEnd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13–14 вересня 2016 p., Полтава. Полтава: </w:t>
      </w:r>
      <w:proofErr w:type="spellStart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ПолтНТУ</w:t>
      </w:r>
      <w:proofErr w:type="spellEnd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2016. С. 10</w:t>
      </w:r>
      <w:r w:rsidR="0000157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="0000157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29.</w:t>
      </w:r>
    </w:p>
    <w:p w:rsidR="00A75731" w:rsidRPr="001F3340" w:rsidRDefault="00A75731" w:rsidP="001F3340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1F3340">
        <w:rPr>
          <w:rFonts w:ascii="Times New Roman" w:hAnsi="Times New Roman" w:cs="Times New Roman"/>
          <w:sz w:val="24"/>
          <w:szCs w:val="24"/>
        </w:rPr>
        <w:t>Кондаков</w:t>
      </w:r>
      <w:proofErr w:type="spellEnd"/>
      <w:r w:rsidR="003003D8" w:rsidRPr="001F33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B109EB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3003D8" w:rsidRPr="001F33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Зричитель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</w:t>
      </w:r>
      <w:proofErr w:type="spellEnd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</w:t>
      </w:r>
      <w:proofErr w:type="spellEnd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spellEnd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="007A09BA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доступу: </w:t>
      </w:r>
      <w:hyperlink r:id="rId7">
        <w:r w:rsidR="003003D8" w:rsidRPr="001F3340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https://doi.org/10.25281/2072-3156-2016-13-5-516-525</w:t>
        </w:r>
      </w:hyperlink>
      <w:r w:rsidR="00B109EB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5731" w:rsidRPr="001F3340" w:rsidRDefault="00B109EB" w:rsidP="001F3340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Назаров М.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М.,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Ковалев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П.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А.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Изменения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медиасферы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современные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практики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чтения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[Електронни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й ресурс] //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Социологические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исследования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2017. № 2. С. 84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95</w:t>
      </w:r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sectPr w:rsidR="00A75731" w:rsidRPr="001F3340" w:rsidSect="00C23E2E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938"/>
    <w:multiLevelType w:val="multilevel"/>
    <w:tmpl w:val="1646EB2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27239"/>
    <w:multiLevelType w:val="hybridMultilevel"/>
    <w:tmpl w:val="A418D9E0"/>
    <w:lvl w:ilvl="0" w:tplc="E306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A9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25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C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7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6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C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5170BF"/>
    <w:multiLevelType w:val="hybridMultilevel"/>
    <w:tmpl w:val="447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24A5"/>
    <w:multiLevelType w:val="hybridMultilevel"/>
    <w:tmpl w:val="29226050"/>
    <w:lvl w:ilvl="0" w:tplc="432EB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A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E2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A4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C0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EE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80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8D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3A6480"/>
    <w:multiLevelType w:val="hybridMultilevel"/>
    <w:tmpl w:val="A56835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2D32"/>
    <w:multiLevelType w:val="hybridMultilevel"/>
    <w:tmpl w:val="1FCE9102"/>
    <w:lvl w:ilvl="0" w:tplc="5C1AA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C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C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C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4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B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66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6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F30B24"/>
    <w:multiLevelType w:val="hybridMultilevel"/>
    <w:tmpl w:val="0F94FAB6"/>
    <w:lvl w:ilvl="0" w:tplc="CCC8B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A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A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E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2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EE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C0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9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6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3F05FA"/>
    <w:multiLevelType w:val="multilevel"/>
    <w:tmpl w:val="F5D0B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19AA"/>
    <w:multiLevelType w:val="hybridMultilevel"/>
    <w:tmpl w:val="AE662506"/>
    <w:lvl w:ilvl="0" w:tplc="BF944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46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E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0D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C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49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8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C0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1D6E47"/>
    <w:multiLevelType w:val="hybridMultilevel"/>
    <w:tmpl w:val="E7FA2516"/>
    <w:lvl w:ilvl="0" w:tplc="043A6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8F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4D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4C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A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8B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CE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2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E07A39"/>
    <w:multiLevelType w:val="hybridMultilevel"/>
    <w:tmpl w:val="38D84092"/>
    <w:lvl w:ilvl="0" w:tplc="9CA84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28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1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2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66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E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C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6B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0C06EF"/>
    <w:multiLevelType w:val="hybridMultilevel"/>
    <w:tmpl w:val="60EE0632"/>
    <w:lvl w:ilvl="0" w:tplc="FE4C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E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2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87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0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4E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2D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AD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050FD8"/>
    <w:multiLevelType w:val="hybridMultilevel"/>
    <w:tmpl w:val="083C5D9A"/>
    <w:lvl w:ilvl="0" w:tplc="44B0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65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E5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84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A8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CA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6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27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84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F30E66"/>
    <w:multiLevelType w:val="hybridMultilevel"/>
    <w:tmpl w:val="261C76EC"/>
    <w:lvl w:ilvl="0" w:tplc="D982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47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20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6C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07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E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0227E4"/>
    <w:multiLevelType w:val="hybridMultilevel"/>
    <w:tmpl w:val="0996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348F2"/>
    <w:multiLevelType w:val="hybridMultilevel"/>
    <w:tmpl w:val="5BF6834E"/>
    <w:lvl w:ilvl="0" w:tplc="C5CA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8E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2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4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A7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0E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8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FF0CB4"/>
    <w:multiLevelType w:val="multilevel"/>
    <w:tmpl w:val="2AA8E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53087"/>
    <w:multiLevelType w:val="hybridMultilevel"/>
    <w:tmpl w:val="F2F8D448"/>
    <w:lvl w:ilvl="0" w:tplc="85AEF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6C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2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A7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A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8F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6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EF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2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E004F3"/>
    <w:multiLevelType w:val="hybridMultilevel"/>
    <w:tmpl w:val="31865EC0"/>
    <w:lvl w:ilvl="0" w:tplc="861E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8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6B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4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25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E3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2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A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CD6225"/>
    <w:multiLevelType w:val="hybridMultilevel"/>
    <w:tmpl w:val="036A76EC"/>
    <w:lvl w:ilvl="0" w:tplc="BFD6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EA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0B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0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2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86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20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0E6187"/>
    <w:multiLevelType w:val="hybridMultilevel"/>
    <w:tmpl w:val="A9349C14"/>
    <w:lvl w:ilvl="0" w:tplc="3DC89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2E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4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6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8F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0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2E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CD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0"/>
  </w:num>
  <w:num w:numId="11">
    <w:abstractNumId w:val="19"/>
  </w:num>
  <w:num w:numId="12">
    <w:abstractNumId w:val="1"/>
  </w:num>
  <w:num w:numId="13">
    <w:abstractNumId w:val="15"/>
  </w:num>
  <w:num w:numId="14">
    <w:abstractNumId w:val="17"/>
  </w:num>
  <w:num w:numId="15">
    <w:abstractNumId w:val="11"/>
  </w:num>
  <w:num w:numId="16">
    <w:abstractNumId w:val="18"/>
  </w:num>
  <w:num w:numId="17">
    <w:abstractNumId w:val="5"/>
  </w:num>
  <w:num w:numId="18">
    <w:abstractNumId w:val="12"/>
  </w:num>
  <w:num w:numId="19">
    <w:abstractNumId w:val="4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3F"/>
    <w:rsid w:val="0000157A"/>
    <w:rsid w:val="0005175B"/>
    <w:rsid w:val="00064743"/>
    <w:rsid w:val="001637DD"/>
    <w:rsid w:val="00165019"/>
    <w:rsid w:val="00165F62"/>
    <w:rsid w:val="001B262F"/>
    <w:rsid w:val="001C7F5D"/>
    <w:rsid w:val="001F3340"/>
    <w:rsid w:val="001F7F25"/>
    <w:rsid w:val="00200EEE"/>
    <w:rsid w:val="00223B3D"/>
    <w:rsid w:val="00251E9A"/>
    <w:rsid w:val="002C0C68"/>
    <w:rsid w:val="003003D8"/>
    <w:rsid w:val="003258BF"/>
    <w:rsid w:val="003938A3"/>
    <w:rsid w:val="003B2D4B"/>
    <w:rsid w:val="003E01AD"/>
    <w:rsid w:val="003E2447"/>
    <w:rsid w:val="00413147"/>
    <w:rsid w:val="00464AD6"/>
    <w:rsid w:val="0047667E"/>
    <w:rsid w:val="004951F2"/>
    <w:rsid w:val="004A3536"/>
    <w:rsid w:val="004D2632"/>
    <w:rsid w:val="004D2D4C"/>
    <w:rsid w:val="00516E11"/>
    <w:rsid w:val="005868A5"/>
    <w:rsid w:val="00613C4E"/>
    <w:rsid w:val="00641B5C"/>
    <w:rsid w:val="0064412F"/>
    <w:rsid w:val="00685898"/>
    <w:rsid w:val="006C3E14"/>
    <w:rsid w:val="006D5AC9"/>
    <w:rsid w:val="00791C3F"/>
    <w:rsid w:val="007A09BA"/>
    <w:rsid w:val="007A7BB3"/>
    <w:rsid w:val="00836BFF"/>
    <w:rsid w:val="008736B6"/>
    <w:rsid w:val="008D4586"/>
    <w:rsid w:val="009A67B6"/>
    <w:rsid w:val="009C5213"/>
    <w:rsid w:val="00A2222D"/>
    <w:rsid w:val="00A40E9E"/>
    <w:rsid w:val="00A75731"/>
    <w:rsid w:val="00A91E45"/>
    <w:rsid w:val="00AA5234"/>
    <w:rsid w:val="00B109EB"/>
    <w:rsid w:val="00B843BB"/>
    <w:rsid w:val="00BA3524"/>
    <w:rsid w:val="00BD511B"/>
    <w:rsid w:val="00C2182A"/>
    <w:rsid w:val="00C23E2E"/>
    <w:rsid w:val="00C24C4F"/>
    <w:rsid w:val="00C92A2C"/>
    <w:rsid w:val="00D650C0"/>
    <w:rsid w:val="00DD1FA7"/>
    <w:rsid w:val="00E162B8"/>
    <w:rsid w:val="00E470D0"/>
    <w:rsid w:val="00E61CD1"/>
    <w:rsid w:val="00E64A3D"/>
    <w:rsid w:val="00E829FE"/>
    <w:rsid w:val="00ED037F"/>
    <w:rsid w:val="00EE3A00"/>
    <w:rsid w:val="00F20660"/>
    <w:rsid w:val="00F2221A"/>
    <w:rsid w:val="00F47CC7"/>
    <w:rsid w:val="00F51551"/>
    <w:rsid w:val="00F53FD3"/>
    <w:rsid w:val="00F64CCA"/>
    <w:rsid w:val="00F85E25"/>
    <w:rsid w:val="00F92FE8"/>
    <w:rsid w:val="00FA16B7"/>
    <w:rsid w:val="00FD376A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D54F"/>
  <w15:docId w15:val="{241305E8-8C46-4F03-89A7-7C1A97CB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91"/>
  </w:style>
  <w:style w:type="paragraph" w:styleId="1">
    <w:name w:val="heading 1"/>
    <w:basedOn w:val="a"/>
    <w:next w:val="a"/>
    <w:link w:val="10"/>
    <w:uiPriority w:val="9"/>
    <w:qFormat/>
    <w:rsid w:val="00CD5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rsid w:val="00ED03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D0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037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D0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F41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12157E"/>
    <w:rPr>
      <w:color w:val="0000FF"/>
      <w:u w:val="single"/>
    </w:rPr>
  </w:style>
  <w:style w:type="character" w:styleId="a7">
    <w:name w:val="Strong"/>
    <w:uiPriority w:val="22"/>
    <w:qFormat/>
    <w:rsid w:val="001215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5A0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D5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5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5A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CD5A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D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A0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D5A0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a"/>
    <w:basedOn w:val="a0"/>
    <w:rsid w:val="00CD5A06"/>
  </w:style>
  <w:style w:type="character" w:customStyle="1" w:styleId="l6">
    <w:name w:val="l6"/>
    <w:basedOn w:val="a0"/>
    <w:rsid w:val="00CD5A06"/>
  </w:style>
  <w:style w:type="paragraph" w:customStyle="1" w:styleId="uk-margin">
    <w:name w:val="uk-margin"/>
    <w:basedOn w:val="a"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 Spacing"/>
    <w:basedOn w:val="a"/>
    <w:link w:val="ad"/>
    <w:uiPriority w:val="1"/>
    <w:qFormat/>
    <w:rsid w:val="00AD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Без интервала Знак"/>
    <w:link w:val="ac"/>
    <w:uiPriority w:val="1"/>
    <w:rsid w:val="00AD56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Subtitle"/>
    <w:basedOn w:val="a"/>
    <w:next w:val="a"/>
    <w:rsid w:val="00ED03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25281/2072-3156-2016-13-5-516-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ina.gych@moippo.mk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7762-7673-4F16-BC78-82D4BDB2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 Windows</cp:lastModifiedBy>
  <cp:revision>8</cp:revision>
  <dcterms:created xsi:type="dcterms:W3CDTF">2021-09-29T07:56:00Z</dcterms:created>
  <dcterms:modified xsi:type="dcterms:W3CDTF">2021-10-05T10:26:00Z</dcterms:modified>
</cp:coreProperties>
</file>