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DC" w:rsidRDefault="005806EA">
      <w:pP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УДК 371.26+372.851+378.51.14</w:t>
      </w:r>
    </w:p>
    <w:p w:rsidR="000353DC" w:rsidRDefault="000353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Наталя Махровська,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ORCID iD 0000-0001-9603-6902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фізико-математичних наук,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теорії й методики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природничо-математичної освіти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інформаційних технологій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післядипломної педагогічної освіти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 Адміральська, 4-а, 54001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 Миколаїв,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0353DC" w:rsidRDefault="005806EA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natalya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makhrovska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@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moippo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mk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</w:t>
        </w:r>
      </w:hyperlink>
    </w:p>
    <w:p w:rsidR="000353DC" w:rsidRDefault="000353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Ганна Погромська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ОRCID iD 0000-0002-6779-3995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педагогічних наук, доцент,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доцент кафедри теорії й методики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природничо-математичної освіти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інформаційних технологій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Миколаївський обласний інститут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післядипломної педагогічної освіти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 Адміральська, 4-а, 54001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 Миколаїв,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0353DC" w:rsidRDefault="009D7882">
      <w:pPr>
        <w:spacing w:line="360" w:lineRule="auto"/>
        <w:jc w:val="right"/>
      </w:pPr>
      <w:hyperlink r:id="rId7"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hanna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pohromska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@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moippo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mk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="005806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</w:t>
        </w:r>
      </w:hyperlink>
    </w:p>
    <w:p w:rsidR="000353DC" w:rsidRDefault="000353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Світлана Колесник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ORCID iD 0000-0002-1546-8242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математики вищої категорії,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учитель,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 директора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Новоодеський ліцей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Новоодеської міської ради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 Центральна,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198, 56600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 Нова Одеса,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Миколаївська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0353DC" w:rsidRDefault="005806EA">
      <w:pPr>
        <w:spacing w:line="360" w:lineRule="auto"/>
        <w:jc w:val="righ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kolesnyksvitlana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27@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</w:t>
      </w:r>
    </w:p>
    <w:p w:rsidR="000353DC" w:rsidRDefault="000353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53DC" w:rsidRDefault="005806EA">
      <w:pPr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ПРОЄКТУВАННЯ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ТЕХНОЛОГІЧН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ПРОДУКТИВНОЇ МОДЕЛІ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ДІЯЛЬНІСНОГО УРОКУ</w:t>
      </w:r>
    </w:p>
    <w:p w:rsidR="000353DC" w:rsidRDefault="000353DC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353DC" w:rsidRDefault="005806EA">
      <w:pPr>
        <w:tabs>
          <w:tab w:val="right" w:pos="9029"/>
        </w:tabs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науково-методичній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статті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уточнено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поняття технологічної карти уроку з позиці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ефективної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підготовки вчителя 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діяльнісного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заняття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за концепцією Нової української школи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Проаналізовано компоненти змістового наповнення карт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діяльнісно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-компетентнісного уроку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Визначено ключові відмінності змісту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такої карти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конспекту уроку та зазначено, що технологічна карта є продуктивною моделлю діяльнісного уроку.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Остання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розгл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ядається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 позицій конструктивістського підходу в синергії з інноваційними цифровими технологіями. Розроблено узагальнену схему проєктування технологічної карти діяльнісного уроку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незалежно від його типу та місця в темі, яка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складається з чотирьох етапів: підготовчий, цілеутворювальний, технологічний та підсумковий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оцінювально-рефлексивний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Уперше уточнено поняття «технологічна карта» з погляду синергії форм діяльності вчителя й учня у процесі проєктування діяльнісного уроку.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Надано авторськ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приклади технологічної карти для урок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математики.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Ключові слова: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діяльнісний урок; конструктивістський підхід; модель;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проєктування; синергія; технології; технологічна карта.</w:t>
      </w:r>
    </w:p>
    <w:p w:rsidR="000353DC" w:rsidRDefault="000353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©Махровська Н. А., Погромська Г. С., Колесник С. В., 2023</w:t>
      </w:r>
    </w:p>
    <w:p w:rsidR="000353DC" w:rsidRDefault="000353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сучасних умов організації освітн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процесу діяльнісний підхід стає його важливим елементом. Новітні технології надають широкий спектр можливостей, які вчитель може використати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уроку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великій кількості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зорієнтуватися й обрати відповідну для конкретної ситуації та вчителя. Використання технологічної карти в освітньому процесі є дієвим інструментом для цього, оскільки вона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змогу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структурувати та організувати матеріал, обрати види діяльності та сформулювати мету для досягнення очікуваних результатів уроку відповідно до навчальної програми.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Означена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структурованою траєкторі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освітнього процесу та планування ресурсів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якісн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результативн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53DC" w:rsidRDefault="005806E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Аналіз останніх досліджень і публікацій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Важливість різного виду технологічних карт для планування та організації будь-якого виду діяльності підкреслено у статті О. Ф. Іслім (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Islim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2017). Залежно від мети та призначення такі карти можуть створюватись у співпраці з колегами або з учнями для деталізації кожного етапу уроку, що підвищує якість освітнього процесу.</w:t>
      </w:r>
    </w:p>
    <w:p w:rsidR="000353DC" w:rsidRDefault="005806E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концептуального відображення реалізації навчального процесу для викладання природничих наук висвітлено в роботі М. Деббаг, Б. Кукурбасі, М. Фідан (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Debba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ğ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>
        <w:fldChar w:fldCharType="begin"/>
      </w:r>
      <w:r>
        <w:instrText xml:space="preserve"> HYPERLINK "https://www.researchgate.net/profile/Baris-Cukurbasi"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ukurba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şı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>
        <w:fldChar w:fldCharType="begin"/>
      </w:r>
      <w:r>
        <w:instrText xml:space="preserve"> HYPERLINK "https://www.researchgate.net/profile/Mustafa-Fidan"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Fidan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2021) та М. Місфельдт, А. Тамборг наведено приклади карт із практико-орієнтованими діяльнісними завданнями для організації уроку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Misfeldt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Tamborg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2019). Через уміння побудови технологічної карти педагог створює комплексну картину структурування змісту теми з можливістю простежити наступність, послідовність вивчення понять, забезпечити системність під час вивчення предмета.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Такі карти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допомагають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деталях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продумати міжпредметні зв’язки та пов’язати між собою теми розділу та предмета в цілому.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Приклади побудови карт концептуального відображення за трьома типами: розгалужена карта (spider mapping), ієрархічна карта (hirearchy mapping)</w:t>
      </w:r>
      <w:r w:rsidRPr="005806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блок-схема (</w:t>
      </w:r>
      <w:r w:rsidRPr="005806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flowchart mapping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806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наведено у статті П. Дхулл, Г. Верма (Dhull Р., Verma G., 2020) План уроку розглядається у вигляді послідовності кроків: підготовчий етап (уведення в тему), формулювання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фокусного (проблемного) питання, надання навчальних інструкцій для учнів, занурення в тему, установлення внутрішньопредметних та міжпредметних зв’язків, закріплення на прикладах, аналіз результатів, рефлексія та підбиття підсумків.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важаємо що, таке змістове структурування матеріалу сприяє підвищенню якості освітнього процесу та професійному розвитку педагога-предметника.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Дослідження дизайнерського підходу до конструювання навчального заняття з наданням схеми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дизайну представили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М. Смагіна, О. М. Шуневич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Смагін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Шуневич 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підход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має можливість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одержати універсальний інструмент для конструювання власних навчальних занять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керуючись описаними епізодами у формі запитань,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бінуючи та модифікуючи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ході проєктування діяльнісного уроку.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навички сучасного вчителя, зокрема здатність застосовувати цифрові технології, реалізовувати інноваційні підходи до викладання, інтегрувати технологічні інструменти у власні уроки та підтримувати сучасних технічно підготовлених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ідеться в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роботах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 Чой, Й. Л. Нг, С. Вонг (Choy M., Ng Y. L., Wang S., 2015), Ф. Делгадо, М. Енрікуз-Флорез, A. Джеміс-Наджера</w:t>
      </w:r>
      <w:r>
        <w:rPr>
          <w:color w:val="000000"/>
          <w:lang w:val="uk-U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Delgado F., Enriquez-Flores M., Jaimes-Najera A., 2021). Усе більше вчителів розуміють, що їхня роль змінюється від постачальників інформації до фасилітаторів. Сучасний педагог має бути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більш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управним в управлінні навчальними інструментами та учнями в класі. На кілька «чітких моделей успішного використання освітніх технологій»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школах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вказали Д. Чепмен і Л. Малк у своєму дослідженні (Chapman D. W., Mahlck L. O., 2004, с. 20).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було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доцільно отримати більше прикладів для ефективного застосування педагогічних технологій на уроці. </w:t>
      </w:r>
    </w:p>
    <w:p w:rsidR="000353DC" w:rsidRDefault="005806E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наш погляд, найзручніше надавати такі приклади у вигляді технологічних карт уроку, у яких чітко виділений кожний етап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зазначені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використані технології. На основі дослідження М. Чой, Й. Л. 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С. Вонг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Choy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Y. L.,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Wang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S., 2015)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зроблено висновок про невідповідність наявних методик планування уроку потребам учителів упроваджувати більш конструктивістські підходи до впровадження «технології», набувати складні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«технологічні» навички та здійснювати подальший професійний розвиток у використанні технологічних карт.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Складність навчальної практики та освітнього процесу представили в моделі знання технологічного педагогічного змісту (TPCK)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П. Мішра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Кохлер (Mishra P., Koehler M. J.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2006), підкресливши взаємодію між трьома типами конструкцій знань: педагогіка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 технологія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зміст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Разом ці три конструкції складають TPCK, хоча основна увага приділяється взаємодії між ними. В основі TPCK лежить динамічний взаємозв’язок між змістом, педагогікою та технологією. Ефективне викладання з використанням технологій потребує розуміння взаємопідкріплювальних зв’язків між усіма трьома елементами, узятими разом, для розроблення відповідних технологічних карт, залежно від контексту, стратегій і уявлень (Koehler 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J., Mishra P., Yahya K., 2007, с. 741).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Уважаємо, що пропоновано модель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TPCK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надає переконливі докази для висвітлення переваг технологічних карт у підготовці вчителів до уроку з акцентом на використанні конструктивістського підходу в синергії з інноваційними цифровими технологіями. </w:t>
      </w:r>
    </w:p>
    <w:p w:rsidR="000353DC" w:rsidRPr="005806EA" w:rsidRDefault="005806EA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Переваги інтеграції базових ідей конструктивізму дослідили в розвідці Г. Погромська, Н. Махровська, Е. Рогожинська (Погромська Г., Махровська Н., Рогожинська Е., 2020), які зазначили, що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онструктивізм уможливлює автономію та самостійну орієнтацію учнів у навчанні та сприяє активній участі останніх у процесі научіння. При цьому організація активного пізнання учнів передбачає вагому попередню роботу сучасного вчителя, яка покликана визначати велику різнорідність бажаних результатів научіння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очікувані результати навчання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широкий спектр педагогічних підходів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відбір відповідних видів діяльності, методів та прийомів</w:t>
      </w:r>
      <w:r>
        <w:rPr>
          <w:color w:val="000000"/>
          <w:sz w:val="28"/>
          <w:szCs w:val="28"/>
          <w:lang w:val="uk-UA"/>
        </w:rPr>
        <w:t>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технологічну карту уроку доцільно конструювати у вигляді таблиці для ефективного структурування уроку за обраними параметрами залежно від мети та типу уроку. Пропонуємо вважати, що це є способом графічного проєктування уроку.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особливостей реалізації діяльнісного підходу в курсі математики на основі технологічної карти уроку. У статті окреслено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0353DC" w:rsidRDefault="005806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 відмінності технологічної карти від конспекту уроку;</w:t>
      </w:r>
    </w:p>
    <w:p w:rsidR="000353DC" w:rsidRDefault="005806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 узагальнену схему проєктування технологічної карти діяльнісного уроку;</w:t>
      </w:r>
    </w:p>
    <w:p w:rsidR="000353DC" w:rsidRDefault="005806E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надати приклад технологічної карти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уроку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 основного 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основу Державного стандарту базової середньої освіти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покладено реалізацію діяльнісного підходу до навчання.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навчальний процес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орієнтовано на організацію діяльності учнів, передбачено не просто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знання, але й активну участь учнів у процесі навчання, яка зумовлює розвиток їхніх здібностей і вмінь, розвиток пізнавальної активності та самостійності, що є необхідними для успішної життєвої діяльності.</w:t>
      </w:r>
    </w:p>
    <w:p w:rsidR="000353DC" w:rsidRPr="005806EA" w:rsidRDefault="005806EA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Відображення діяльнісного складника в навчанні є одним із основних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підготовки вчителя до сучасного уроку.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 «технологічна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а» використовують у промисловості, на виробництві (під час організації виробничих процесів). Цей документ містить інструкцію для фахівців щодо певного технологічного процесу. У ній має бути описано які операції потрібно виконати й у якій послідовності, періодичність виконання таких дій, який має бути результат та які мають бути матеріали та інструменти для максимальної ефективності. Найчастіше технологічні карти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розробники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представляють у вигляді таблиці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(Ничкало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 Г., Зайчук</w:t>
      </w:r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В. О., Розенберг Н. М. та ін., 1992;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К., </w:t>
      </w:r>
      <w:r>
        <w:rPr>
          <w:rFonts w:ascii="Times New Roman" w:hAnsi="Times New Roman" w:cs="Times New Roman"/>
          <w:color w:val="000000"/>
          <w:sz w:val="28"/>
          <w:szCs w:val="28"/>
        </w:rPr>
        <w:t>Білосевич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Луньова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Г. С., 2008, с.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63–67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). Таке подання моделює етапність дій і відповідний їм процедурний складник розкриття змісту.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Наприклад, за модульно-розвивальною технологією 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технологічну карту уроку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розглядають як опис послідовності етапів уроку, деталізований покроково, у графічній формі із зазначенням застосовуваних засобів.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Вона є 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навчальної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Тихонова Т. В., Слєпцова І.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2003)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створення таких технологічних карт потрібно вказати клас, тему та час, запланований для вивчення цієї теми. Далі тему розбивають на модулі, для кожного з яких визначають попередні (вхідні) та підсумкові (вихідні) знання та вміння. Також зазначають допоміжну літературу для учнів,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теми проєктів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домашні завдання до кожного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процесу доречно розглядати елементи технологічної карти як синергію форм діяльності вчителя й учнів, а також змісту та засобів для формування діяльнісного уроку. За діяльнісним підходом синергія відіграє важливу роль, оскільки саме вона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дає можливість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досягти більшого ефекту від дії різних чинників на практиці. Одним зі способів досягнення синергії за такої організації навчання є забезпечення спільної роботи всіх учасників процесу, а також взаємодії та обміну ідеями. Діяльнісний урок передбачає комплексний підхід до вирішення проблем, коли всі сторони беруть активну участь у процесі їх вирішення. Уважаємо, що зазначена синергія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кращих результатів, спираючи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колективний інтелект та спільну роботу всіх учасників процесу.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поняттям технологічної карти уроку з позиції ефективної підготовки вчителя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уроку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розуміємо вид методичного продукту, який містить докладний опис етапів уроку із зазначенням видів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вчителя й учнів у синергії з сучасними педагогічними та інформаціними технологіями.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контексті технологічної карти уроку синергія означає використання різноманітних методів та інструментів для досягнення спільної мети – ефективного та цікавого подання матеріалу.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Готуючись до уроку, учитель обов’язково проходить етап його проєктування, тобто процес планування уроку з урахуванням конкретних потреб та особливостей учнів, спираючись на педагогічний досвід, застосовуючи методичні рекомендації та інші педагогічні знання.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Навчально-методична інформація на уроці може подаватися вербально (у вигляді плану-сценарію з докладним висвітленням етапів уроку) та/або візуально (у вигляді схеми, графічної моделі, інфографіки, карти знань).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Технологічна карта та традиційний конспект уроку мають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відмінност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(див. таблицю 1), які стосуються їх змістового наповнення.</w:t>
      </w:r>
    </w:p>
    <w:p w:rsidR="000353DC" w:rsidRDefault="000353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3DC" w:rsidRDefault="005806EA">
      <w:pPr>
        <w:spacing w:line="360" w:lineRule="auto"/>
        <w:ind w:firstLine="567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Таблиця 1. Відмінності між технологічною картою та конспектом</w:t>
      </w:r>
    </w:p>
    <w:tbl>
      <w:tblPr>
        <w:tblW w:w="874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1"/>
        <w:gridCol w:w="3924"/>
      </w:tblGrid>
      <w:tr w:rsidR="000353DC">
        <w:trPr>
          <w:cantSplit/>
          <w:tblHeader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Технологічна карта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 уроку</w:t>
            </w:r>
          </w:p>
        </w:tc>
      </w:tr>
      <w:tr w:rsidR="000353DC">
        <w:trPr>
          <w:cantSplit/>
          <w:tblHeader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 діяльності учнів та вчителя відповідно до етапів уроку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Стислий опис роботи вчителя на уроці</w:t>
            </w:r>
          </w:p>
        </w:tc>
      </w:tr>
      <w:tr w:rsidR="000353DC">
        <w:trPr>
          <w:cantSplit/>
          <w:tblHeader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 діяльності учнів для реалізації зазначених компетентностей на кожному етапі уроку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 форми та зміст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викладання та закріплення матеріалу</w:t>
            </w:r>
          </w:p>
        </w:tc>
      </w:tr>
      <w:tr w:rsidR="000353DC">
        <w:trPr>
          <w:cantSplit/>
          <w:tblHeader/>
          <w:jc w:val="center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Зазначені техніки оцінювання засвоєння матеріалу та способи проведення рефлексії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ind w:left="184" w:right="16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Підбиття підсумків уроку</w:t>
            </w:r>
          </w:p>
        </w:tc>
      </w:tr>
    </w:tbl>
    <w:p w:rsidR="000353DC" w:rsidRDefault="000353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353DC" w:rsidRDefault="005806EA">
      <w:pPr>
        <w:spacing w:line="360" w:lineRule="auto"/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/>
        </w:rPr>
        <w:t xml:space="preserve">Джерело: складено самостійно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Ідея проєктування уроку у вигляді технологічної карти включає імплементацію діяльнісного підходу з описом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інноваційних технологій роботи з інформацією, компетентнісних завдань для учнів відповідно до очікуваних результатів із техніками та критеріями їх оцінювання.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Перевагами технологічної карти є її структурованість, алгоритмічність, технологічність та системність.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Виходячи з аналізу науково-методичних джерел зазначимо, що немає усталеної структури технологічної 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вона може містити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складники: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Тема уроку 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календарно-тематичним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додати різні варіанти формулювання теми у форматі, який зацікавить учнів).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Очікувані результати (відповідно до навчальної програми).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Мета уроку відповідно до очікуваних результатів.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Організація простору (форми роботи і ресурси) та інтеграція навчального матеріалу.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Базові поняття уроку.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Етапи уроку (назва етапу, розподіл часу між етапами уроку, методи та форми роботи з учнями, опис видів діяльності вчителя й учнів, завдання для досягнення очікуваних результатів, необхідні ресурси та матеріали для організації кожного етапу).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Рефлексія кожного етапу уроку з використанням технік формувального оцінювання.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Поділяючи думку авторів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Н. М. Бібік і Т. В. Тихонової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(Бібік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2016; Тихонова Т., 2022) та узагальнюючи і систематизуючи варіанти пропонованих конструкторів різних типів сучасного компетентнісно спрямованого уроку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Т. М. Смагіної, О. М. Шуневич, В. І. Шуляра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(Смагіна 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 Шуневич 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М., 2001; Шуляр В. І., 2012), уважаємо за доцільне використання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пропонованої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схеми послідовності кроків для проєктування діяльнісного уроку з відображенням у вигляді технологічної карти (Таблиця 2).</w:t>
      </w:r>
    </w:p>
    <w:p w:rsidR="000353DC" w:rsidRDefault="005806EA">
      <w:pPr>
        <w:spacing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Таблиця 2. Схема (технологічна карта) проєктування діяльнісного уроку</w:t>
      </w:r>
    </w:p>
    <w:tbl>
      <w:tblPr>
        <w:tblW w:w="9015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69"/>
        <w:gridCol w:w="5946"/>
      </w:tblGrid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Зміст етапу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 проєктування</w:t>
            </w:r>
          </w:p>
        </w:tc>
      </w:tr>
      <w:tr w:rsidR="000353DC">
        <w:trPr>
          <w:trHeight w:val="440"/>
          <w:jc w:val="center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DC" w:rsidRDefault="005806EA">
            <w:pPr>
              <w:widowControl w:val="0"/>
              <w:spacing w:before="20" w:after="2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Підготовчий етап</w:t>
            </w:r>
          </w:p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початку проєктування уроку визначити його місце в темі та обрати оптимальну кількість (пропонуємо не більше трьох) очікуваних результатів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навчальної програми</w:t>
            </w:r>
          </w:p>
        </w:tc>
      </w:tr>
      <w:tr w:rsidR="000353DC">
        <w:trPr>
          <w:trHeight w:val="440"/>
          <w:jc w:val="center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DC" w:rsidRDefault="005806EA">
            <w:pPr>
              <w:widowControl w:val="0"/>
              <w:spacing w:before="20" w:after="20"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Цілеутворювальний етап</w:t>
            </w:r>
          </w:p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Розпочати зі створення ядра (основи) уроку для формулювання теми та визначення освітньої мети уроку</w:t>
            </w:r>
          </w:p>
        </w:tc>
      </w:tr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Формулювання теми уроку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Занурення у проблемну ситуацію через формулювання теми уроку: як діяльнісна (формування певних умінь) або як компетентнісна (створення навчального продукту)</w:t>
            </w:r>
          </w:p>
        </w:tc>
      </w:tr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Визначення мети уроку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Мету визначаємо відповідно до очікуваних результатів навчання (предметних та наскрізних) та Державного стандарту, спираючись на групи загальних та конкретних результатів навчання</w:t>
            </w:r>
          </w:p>
        </w:tc>
      </w:tr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 Визначення компетентнісного потенціалу уроку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 навчання мають бути діагностичними, конкретними, вимірюваними та відповідати ключовим компетентностям</w:t>
            </w:r>
          </w:p>
        </w:tc>
      </w:tr>
      <w:tr w:rsidR="000353DC">
        <w:trPr>
          <w:trHeight w:val="440"/>
          <w:jc w:val="center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Технологічний етап</w:t>
            </w:r>
          </w:p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будувати ядро, змоделювавши навчальні ситуації до кожного етапу уроку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наприклад,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опора на досвід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проблемні завдання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яльності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представлення теми, спільне визначення мети та визначення завдань до уроку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 Виділення етапів уроку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Розкриття структури уроку відповідно до його етапів</w:t>
            </w:r>
          </w:p>
        </w:tc>
      </w:tr>
      <w:tr w:rsidR="000353DC">
        <w:trPr>
          <w:jc w:val="center"/>
        </w:trPr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Проєктування навчальних ситуацій (бажано практико-орієнтованого змісту)</w:t>
            </w:r>
          </w:p>
        </w:tc>
        <w:tc>
          <w:tcPr>
            <w:tcW w:w="5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Основою уроку стають навчальні ситуації: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before="20"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поділ змістової частини теми та навчальних одиниць на окремі блоки (теоретичні, репродуктивні та продуктивні);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відбір відповідних видів діяльності, методів та прийомів, що забезпечать досягнення поставленої мети за її дидактичними функціями та засвоєння навчальних одиниць уроку;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after="20"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вибір форм організації навчальної діяльності здобувачів освіти (індивідуальні / групові / фронтальні або їх синергія), які відповідають змісту, методам, прийомам роботи.</w:t>
            </w:r>
          </w:p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кожній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навчальних ситуацій: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before="20"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може бути запропонована практична / життєва ситуація;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обрано вид діяльності;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відібрано зміст навчання, узгоджений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видом діяльності;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підібрано відповідні техніки та критерії оцінювання роботи учнів (зовнішня оцінка вчителя, самооцінювання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взаємооцінювання);</w:t>
            </w:r>
          </w:p>
          <w:p w:rsidR="000353DC" w:rsidRDefault="005806EA">
            <w:pPr>
              <w:widowControl w:val="0"/>
              <w:numPr>
                <w:ilvl w:val="0"/>
                <w:numId w:val="2"/>
              </w:numPr>
              <w:spacing w:after="20" w:line="360" w:lineRule="auto"/>
              <w:ind w:left="283" w:hanging="28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передбачена рефлексія</w:t>
            </w:r>
          </w:p>
        </w:tc>
      </w:tr>
      <w:tr w:rsidR="000353DC">
        <w:trPr>
          <w:trHeight w:val="440"/>
          <w:jc w:val="center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DC" w:rsidRDefault="005806EA">
            <w:pPr>
              <w:widowControl w:val="0"/>
              <w:spacing w:before="20" w:after="20" w:line="360" w:lineRule="auto"/>
              <w:ind w:left="7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Підсумковий оцінювально-рефлексивний етап</w:t>
            </w:r>
          </w:p>
          <w:p w:rsidR="000353DC" w:rsidRDefault="005806EA">
            <w:pPr>
              <w:widowControl w:val="0"/>
              <w:spacing w:before="20" w:after="20" w:line="360" w:lineRule="auto"/>
              <w:ind w:left="7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Добудувати ядро знизу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забезпечити рефлексію, підбити загальні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підсумк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ього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завдання)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сталими елементами, що забезпечать усвідомлення та закріплення досягнутих у процесі уроку результатів</w:t>
            </w:r>
          </w:p>
        </w:tc>
      </w:tr>
    </w:tbl>
    <w:p w:rsidR="000353DC" w:rsidRDefault="000353DC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3DC" w:rsidRDefault="005806EA">
      <w:pPr>
        <w:spacing w:line="360" w:lineRule="auto"/>
        <w:ind w:firstLine="56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Джерело: складено самостійно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такого проєктування доцільно оформити у вигляді технологічної карти, яку можна вважати однією з форм сучасної організації уроку (умовно, це таблиця, у якій викладач описує діяльність учителя й учнів на уроці). Пропонована схема для проєктування діяльнісного уроку (Таблиця 2) дає можливiсть учителеві цілісно та системно скомпонувати навчальний матеріал з урахуванням мети уроку, визначити навчальні ситуації для діяльнісного уроку, рацiонально розподiлити час мiж етапами та видами дiяльностi; здійснювати контроль результатів навчальної діяльності відповідно до критеріїв оцінювання та з використанням різноманітних видів оцінювання.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Прикладом реалізації технологічної карти для дистанційного уроку за темою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Теорема про три перпендикуляри» є урок,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конкурсу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2020» фіналіст, учитель математики вищої категорії, старший учитель,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директора Новоодеського ліцею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Новоодеської міської ради Світлана Колесник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 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2021)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Каталог практичного досвіду щодо проєктування технологічних </w:t>
      </w: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4675505</wp:posOffset>
            </wp:positionH>
            <wp:positionV relativeFrom="paragraph">
              <wp:posOffset>-109220</wp:posOffset>
            </wp:positionV>
            <wp:extent cx="1033145" cy="1020445"/>
            <wp:effectExtent l="0" t="0" r="0" b="0"/>
            <wp:wrapTight wrapText="bothSides">
              <wp:wrapPolygon edited="0">
                <wp:start x="-469" y="0"/>
                <wp:lineTo x="-469" y="21127"/>
                <wp:lineTo x="21411" y="21127"/>
                <wp:lineTo x="21411" y="0"/>
                <wp:lineTo x="-4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 для уроків математики (автор Колесник С.) доступний за покликанням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https://cutt.ly/95RJQyV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QR-кодом.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статті розглянуто поняття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технологічна карта» в освітньому процесі як новий вид методичного продукту, що сприяє ефективному та якісному викладанню навчального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можливості досягнення запланованих результатів освоєння освітніх програм. Визначено відмінності технологічної карти від конспекту уроку. Для технологічної карти характерним є чіткий опис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учнів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відповідно до етапів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зазначення технік та інструментів </w:t>
      </w:r>
      <w:r>
        <w:rPr>
          <w:rFonts w:ascii="Times New Roman" w:hAnsi="Times New Roman" w:cs="Times New Roman"/>
          <w:color w:val="000000"/>
          <w:sz w:val="28"/>
          <w:szCs w:val="28"/>
        </w:rPr>
        <w:t>оцінювання засвоєння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рефлексія навчальної діяльності на кожному етапі. </w:t>
      </w:r>
    </w:p>
    <w:p w:rsidR="000353DC" w:rsidRDefault="005806EA">
      <w:pPr>
        <w:spacing w:line="36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рамках освітнього процесу доречно розглядати елементи технологічної карти як синергію форм діяльності вчителя й учнів, а також змісту та засобів для формування діяльнісного уроку.</w:t>
      </w:r>
    </w:p>
    <w:p w:rsidR="000353DC" w:rsidRDefault="005806EA">
      <w:pPr>
        <w:spacing w:line="360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Проаналізовано компоненти змістового наповнення технологічних карт діяльнісного уроку.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вчителям інструментарію для організації та структурування процесу підготовки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уроку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розроблено узагальнену схему проєктування технологічної карти діяльнісного 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містить чотири етапи: підготовчий, цілеутворювальний, технологічний та підсумковий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оцінювально-рефлексивний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Звертаємо увагу на необхідність моделювання навчальних практико-орієнтованих ситуацій кожного етапу уроку відповідно до поставленої мети. Необхідним є вибір відповідних технік та критеріїв оцінювання робіт учнів (зовнішня оцінка вчителя, самооцінювання / взаємооцінювання).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альним етапом проєктування уроку має стати рефлексія навчальної діяльності учнів.</w:t>
      </w:r>
    </w:p>
    <w:p w:rsidR="000353DC" w:rsidRDefault="005806EA">
      <w:pPr>
        <w:spacing w:line="360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приклад технологічних карт для уроків математики надано каталог доробок практичного досвіду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вчительки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3DC" w:rsidRDefault="005806EA">
      <w:pPr>
        <w:spacing w:line="360" w:lineRule="auto"/>
        <w:ind w:firstLine="7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полягає в розробленні конструктора технологічної карти діяльнісного уроку з докладним розкриттям видів діяльності вчителя й учнів на кожному етапі уроку відповідно до розробленої схеми (таблиця 2).</w:t>
      </w:r>
    </w:p>
    <w:p w:rsidR="000353DC" w:rsidRDefault="000353DC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53DC" w:rsidRDefault="005806EA">
      <w:pPr>
        <w:spacing w:line="360" w:lineRule="auto"/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використаної літератури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beforeAutospacing="1"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Бібік Н. М. Ознаки компетентнісно орієнтованого уроку з предмета «Я у світі» / Н. М. Бібік // Вчитель початкової школи. – 2016. – № 7. – С. 7–12.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Колесник 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Методична розробка «Технологічна карта дистанційного уроку» / С. Колесник, Н. Махровська, Г. Погромська, Е. Рогожинська // Каталог «Відкритий урок: розробки, технології, досвід» [Електронний ресурс]. – Режим доступу: https://urok.osvita.ua/materials/math/tehnologicna-karta-distancijnogo-uroku/</w:t>
      </w:r>
    </w:p>
    <w:p w:rsidR="000353DC" w:rsidRPr="005806EA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Луньова Г. С. (Погромська Г. С.) Дидактичні засади формування інформаційно-технологічних умінь старшокласників у процесі навчання: дис... канд. пед. наук: 13.00.09 / Луньова Ганна Сергіївна ; АПН України, Ін-т педагогіки. – К., 2008. – 343 с. – С. 63–67.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Педагогічна книга майстра виробничого навчання: Навч.-метод. посібник / Н. Г. Ничкало, В. О. Зайчук, Н. М. Розенберг та ін. – К. : Вища шк., 1992. – 334 с.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Погромська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Г. 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Інтеграція базових ідей конструктивізму та аспектів вільної трудової школи Я.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 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Чепіги в інноваційний розвиток природничо-математичної освіти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Г. Погромська, Н. Махровська, Е. Рогожинська // Вересень. – 2020. –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Том 4. – № 2–3 (85–86)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С. 164–178.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Сидоренко В., Білосевич І. Графічні уміння як основа розв’язування технічних задач / В. Сидоренко, І. Білосевич // Трудова підготовка в закладах освіти. – 2005. – № 3. – С. 4–8.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Смагіна Т. М., Шуневич О. М. Дизайн навчального заняття в базовій новій українській школі / Т. М. Смагіна, О. М. Шуневич // Інноваційна педагогіка. – 2021. – Випуск 41. – Т. 2. – С. 38–43.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innovpedagogy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archives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/2021/41/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part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_2/9.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Тихонова Т. Інновації в закладі освіти: сутність, нормативне забезпечення, методика організації 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 Тихонова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D7152E">
        <w:rPr>
          <w:rFonts w:ascii="Times New Roman" w:hAnsi="Times New Roman" w:cs="Times New Roman"/>
          <w:color w:val="000000"/>
          <w:sz w:val="28"/>
          <w:szCs w:val="28"/>
        </w:rPr>
        <w:t xml:space="preserve"> Вересень. – 2022. – Том</w:t>
      </w:r>
      <w:r w:rsidR="00D7152E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– № (92). – С. 74–83.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doi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org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/10.54662/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veresen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.1.2022.06</w:t>
        </w:r>
      </w:hyperlink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Тихонова Т. В., Слєпцова І. М. Організація роботи вчителя інформатики за модульно-розвивальною технологією навчання / Т. В. Тихонова, І. М. Слєпцова // Вересень. – 2003. – № 1. – С. 39–45.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Шуляр В. І. Сучасний урок української літератури: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теорія, методика, технологія : монографія В. І. Шуляр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 : Іліон, 2012. – 876 с.</w:t>
      </w:r>
    </w:p>
    <w:p w:rsidR="000353DC" w:rsidRPr="005806EA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Chapman D.W., Mahlck L.O. Adapting Technology for School Improvement: A Global Perspective / D.W. Chapman, L.O. Mahlck: ERIC, 2004. – C. 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53DC" w:rsidRPr="005806EA" w:rsidRDefault="009D788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lang w:val="en-US"/>
        </w:rPr>
      </w:pPr>
      <w:hyperlink r:id="rId17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Choy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M., </w:t>
      </w:r>
      <w:hyperlink r:id="rId18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Ng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Y.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L., </w:t>
      </w:r>
      <w:hyperlink r:id="rId19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Wang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S. Mapping teachers’ perceptions on technology use using the iTEaCH implementation model: A case study of a Singapore school / M. </w:t>
      </w:r>
      <w:hyperlink r:id="rId20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Choy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, Y.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L. </w:t>
      </w:r>
      <w:hyperlink r:id="rId21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Ng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 </w:t>
      </w:r>
      <w:hyperlink r:id="rId22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Wang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Cogent Education. – 2015. – 2. – P. 2–20. DOI: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23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https://doi.org/10.1080/2331186X.2015.1035527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53DC" w:rsidRPr="005806EA" w:rsidRDefault="009D788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lang w:val="en-US"/>
        </w:rPr>
      </w:pPr>
      <w:hyperlink r:id="rId24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Debbağ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M., </w:t>
      </w:r>
      <w:hyperlink r:id="rId25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Çukurbaşı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B., </w:t>
      </w:r>
      <w:hyperlink r:id="rId26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Fidan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 Use of Digital Mind Maps in Technology Education: A Pilot Study with Pre-Service Science Teachers / M. </w:t>
      </w:r>
      <w:hyperlink r:id="rId27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Debbağ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B. </w:t>
      </w:r>
      <w:hyperlink r:id="rId28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Çukurbaşı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 </w:t>
      </w:r>
      <w:hyperlink r:id="rId29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Fidan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hyperlink r:id="rId30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Informatics in Education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2021 (March). – 20(1). – P. 47–68. DOI: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https://doi.org/</w:t>
      </w:r>
      <w:hyperlink r:id="rId31" w:tgtFrame="_blank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10.15388/infedu.2021.03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Delgado F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Enríquez-Flores M., Jaimes-Nájera A. Lessons in the Use of Technology for Science Education during COVID-19 Age under a Teachers’ Collaboration Cluster // Education Sciences. – 2021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543. DOI: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https://doi.org/10.3390/educsci11090543 </w:t>
      </w:r>
    </w:p>
    <w:p w:rsidR="000353DC" w:rsidRPr="005806EA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line="360" w:lineRule="auto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Dhull Р., Verma G. Use of Concept Mapping for Teaching Science / Р. Dhull, G. Verma // </w:t>
      </w:r>
      <w:hyperlink r:id="rId32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The International journal of analytical and experimental modal analysis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2020 (March). – XII (III). – Р. 2481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2491. </w:t>
      </w:r>
    </w:p>
    <w:p w:rsidR="000353DC" w:rsidRPr="005806EA" w:rsidRDefault="009D7882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lang w:val="en-US"/>
        </w:rPr>
      </w:pPr>
      <w:hyperlink r:id="rId33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Islim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 O.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F. Technology-supported collaborative concept maps in classrooms / O.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F. </w:t>
      </w:r>
      <w:hyperlink r:id="rId34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Islim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hyperlink r:id="rId35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Active Learning in Higher Education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2017 (August). – 19(3). – DOI: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06E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https://doi.org/</w:t>
      </w:r>
      <w:hyperlink r:id="rId36" w:tgtFrame="_blank">
        <w:r w:rsidR="005806EA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10.1177/1469787417723231</w:t>
        </w:r>
      </w:hyperlink>
      <w:r w:rsidR="005806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Koehler M.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J., Mishra P., Yahya K. Tracing the development of teacher knowledge in a design seminar: Integrating content, pedagogy and technology / Koehler M.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J., Mishra P., Yahya K. – 2007. – Volume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49. – Issue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 – Page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740–762. DOI: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https://doi.org/10.1016/j.compedu.2005.11.012 </w:t>
      </w:r>
    </w:p>
    <w:p w:rsidR="000353DC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Misfeldt M., Tamborg A.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L., Dreyøe J., Allsopp B.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B. Tools, rules and teachers: The relationship between curriculum standards and resource systems when teaching mathematics / M. Misfeldt, A. Tamborg, J. Dreyøe, B. Allsopp // </w:t>
      </w:r>
      <w:hyperlink r:id="rId37" w:tgtFrame="Go to International Journal of Educational Research on ScienceDirect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International Journal of Educational Research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2019. – </w:t>
      </w:r>
      <w:hyperlink r:id="rId38" w:tgtFrame="Go to table of contents for this volume/issue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Volume 94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P. 122–133. DOI: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https:</w:t>
      </w:r>
      <w:hyperlink r:id="rId39" w:tgtFrame="Persistent link using digital object identifier">
        <w:r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https://doi.org/10.1016/j.ijer.2018.12.001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353DC" w:rsidRPr="007C7356" w:rsidRDefault="005806EA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993"/>
        </w:tabs>
        <w:spacing w:afterAutospacing="1" w:line="360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Mishra P., Koehler M. Technological pedagogical content knowledge: A framework for teacher knowledge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P. Mishra, M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Koehler// Teachers College Record. – 2006. – Volume 108. – Issue 6. – P. 1017–1054. DOI: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40" w:history="1">
        <w:r w:rsidR="001076FE" w:rsidRPr="007C73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https://doi.org/10.1111/j.1467-9620.2006.00684.x</w:t>
        </w:r>
      </w:hyperlink>
    </w:p>
    <w:p w:rsidR="001076FE" w:rsidRDefault="001076FE" w:rsidP="001076FE">
      <w:pPr>
        <w:shd w:val="clear" w:color="auto" w:fill="FFFFFF"/>
        <w:tabs>
          <w:tab w:val="left" w:pos="993"/>
        </w:tabs>
        <w:spacing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1076FE" w:rsidRPr="009D7882" w:rsidRDefault="001076FE" w:rsidP="001076FE">
      <w:pPr>
        <w:shd w:val="clear" w:color="auto" w:fill="FFFFFF"/>
        <w:tabs>
          <w:tab w:val="left" w:pos="993"/>
        </w:tabs>
        <w:spacing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DESIGNING A TECHNOLOGY MAP AS A PRODUCTIVE MOD</w:t>
      </w:r>
      <w:r w:rsid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EL FOR AN ACTIVITY-BASED LESSON</w:t>
      </w:r>
    </w:p>
    <w:p w:rsidR="001076FE" w:rsidRPr="007C7356" w:rsidRDefault="001076FE" w:rsidP="001076FE">
      <w:pPr>
        <w:shd w:val="clear" w:color="auto" w:fill="FFFFFF"/>
        <w:tabs>
          <w:tab w:val="left" w:pos="993"/>
        </w:tabs>
        <w:spacing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076FE" w:rsidRPr="007C7356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Makhrovska</w:t>
      </w:r>
      <w:r w:rsidR="007C7356" w:rsidRPr="007C7356">
        <w:t xml:space="preserve"> </w:t>
      </w:r>
      <w:r w:rsidR="007C73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Natalya</w:t>
      </w:r>
      <w:r w:rsidR="007C7356" w:rsidRPr="007C735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PhD, Associate Professor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Department of theory and methods for teaching the natural sciences, mathematics and information technologies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Mykolaiv Regional In-Service Teacher Training Institute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Admiralska str., 4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54001,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en-US"/>
        </w:rPr>
        <w:t>Mykolaiv, Ukraine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natalya.makhrovska@moippo.mk.ua</w:t>
      </w:r>
    </w:p>
    <w:p w:rsidR="001076FE" w:rsidRPr="001076FE" w:rsidRDefault="001076FE" w:rsidP="001076FE">
      <w:pPr>
        <w:shd w:val="clear" w:color="auto" w:fill="FFFFFF"/>
        <w:tabs>
          <w:tab w:val="left" w:pos="993"/>
        </w:tabs>
        <w:spacing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76FE" w:rsidRPr="007C7356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Pohromska</w:t>
      </w:r>
      <w:r w:rsidR="007C7356" w:rsidRPr="007C7356">
        <w:rPr>
          <w:lang w:val="en-US"/>
        </w:rPr>
        <w:t xml:space="preserve"> </w:t>
      </w:r>
      <w:r w:rsid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Hanna,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PhD, Docent, Associate Professor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Department of theory and methods for teaching the natural sciences, mathematics and information technologies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Mykolaiv Regional In-Service Teacher Training Institute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Admiralska str., 4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54001,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en-US"/>
        </w:rPr>
        <w:t>Mykolaiv, Ukraine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hanna.pohromska@moippo.mk.ua</w:t>
      </w:r>
    </w:p>
    <w:p w:rsidR="001076FE" w:rsidRPr="001076FE" w:rsidRDefault="001076FE" w:rsidP="001076FE">
      <w:pPr>
        <w:shd w:val="clear" w:color="auto" w:fill="FFFFFF"/>
        <w:tabs>
          <w:tab w:val="left" w:pos="993"/>
        </w:tabs>
        <w:spacing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76FE" w:rsidRPr="007C7356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Kolesnyk </w:t>
      </w:r>
      <w:r w:rsidR="007C73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Svitlana,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teacher of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mathematics (the high category)</w:t>
      </w:r>
    </w:p>
    <w:p w:rsidR="001076FE" w:rsidRPr="001076FE" w:rsidRDefault="007C7356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Nova Odesa Lyceum 4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76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Tsentralna str., 198,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56600, </w:t>
      </w:r>
      <w:r w:rsidR="007C7356">
        <w:rPr>
          <w:rFonts w:ascii="Times New Roman" w:hAnsi="Times New Roman" w:cs="Times New Roman"/>
          <w:color w:val="000000"/>
          <w:sz w:val="28"/>
          <w:szCs w:val="28"/>
          <w:lang w:val="en-US"/>
        </w:rPr>
        <w:t>Nova Odesa, Ukraine</w:t>
      </w:r>
    </w:p>
    <w:p w:rsidR="001076FE" w:rsidRPr="001076FE" w:rsidRDefault="001076FE" w:rsidP="007C7356">
      <w:pPr>
        <w:shd w:val="clear" w:color="auto" w:fill="FFFFFF"/>
        <w:tabs>
          <w:tab w:val="left" w:pos="993"/>
        </w:tabs>
        <w:spacing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kolesnyksvitlana27@gmail.com</w:t>
      </w:r>
    </w:p>
    <w:p w:rsidR="000353DC" w:rsidRDefault="000353D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353DC" w:rsidRDefault="005806EA">
      <w:pPr>
        <w:tabs>
          <w:tab w:val="right" w:pos="902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This article examines the concept of a technological map of a lesson as an effective tool for teacher preparation. The use of technological maps aligns with the principles of the New Ukrainian School and enables the creation of productive activity-based lessons that meet the requirements of the State Educational Standard.</w:t>
      </w:r>
    </w:p>
    <w:p w:rsidR="000353DC" w:rsidRPr="005806EA" w:rsidRDefault="005806EA">
      <w:pPr>
        <w:tabs>
          <w:tab w:val="right" w:pos="9029"/>
        </w:tabs>
        <w:spacing w:line="360" w:lineRule="auto"/>
        <w:ind w:firstLine="567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The article analyzes the components of a technological map, highlighting its role as a new type of methodical product that supports effective teaching and improves the quality of the educational process. The creation of a technological map facilitates the design of activity-competency lessons and differs from traditional lesson outlines in its emphasis on describing the students' activities and reflecting on the learning process at each stage.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The article discusses the importance of a constructivist approach to creating a technological map,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emphasizing the integration of teacher and student activities, content, and innovative digital technologies. A technology map is a visual representation of the learning objectives, activities, and assessments that make up a lesson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A generalized scheme for designing a technological map is provided, consisting of four stages: preparatory, goal-forming, technological, and final evaluative and reflective stages. The article emphasizes the importance of modeling practice-oriented educational situations and selecting appropriate evaluation techniques and criteria.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Finally, the article provides examples of technological maps for mathematics lessons to illustrate the practical application of the concept. Using a technology map can be an effective way to design and implement activity-based lessons that promote learning and engagement. By clearly defining objectives, activities, and assessments, educators can create a roadmap for success that supports student achievement and growth. Overall, the use of technological maps can enhance teacher preparation, facilitate effective teaching, and improve the quality of the learning process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53DC" w:rsidRDefault="005806EA">
      <w:pPr>
        <w:tabs>
          <w:tab w:val="left" w:pos="900"/>
        </w:tabs>
        <w:spacing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activity lesson;</w:t>
      </w:r>
      <w:r>
        <w:rPr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constructivist approach; designing; model; synergy; technological map; technologies.</w:t>
      </w:r>
    </w:p>
    <w:p w:rsidR="007C7356" w:rsidRDefault="007C7356" w:rsidP="009D7882">
      <w:pPr>
        <w:tabs>
          <w:tab w:val="left" w:pos="90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0353DC" w:rsidRDefault="000353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353DC" w:rsidRDefault="005806EA">
      <w:pPr>
        <w:tabs>
          <w:tab w:val="left" w:pos="900"/>
        </w:tabs>
        <w:spacing w:line="360" w:lineRule="auto"/>
        <w:ind w:firstLine="7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References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Bibik, N. M. (2016). Oznaky kompetentnisno oriientovanoho uroku z predmeta «Ia u sviti» [Signs of a competence-oriented lesson on the subject «I am in the world»].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Vchytel pochatkovoi shkoly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7, 7–12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Chapman, D. W. &amp; Mahlck, L. O. (2004). Adapting Technology for School Improvement: A Global Perspective. ERIC (eng).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Choy, M. &amp; Ng, Y. L. &amp; Wang, S. (2015). Mapping teachers’ perceptions on technology use using the iTEaCH implementation model: A case study of a Singapore school. Cogent Education. DOI: </w:t>
      </w:r>
      <w:hyperlink r:id="rId4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/>
          </w:rPr>
          <w:t>https://doi.org/10.1080/2331186X.2015.1035527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(eng).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Debbağ, M. &amp; Çukurbaşı, B. &amp; Fidan, M. (2021). Use of Digital Mind Maps in Technology Education: A Pilot Study with Pre-Service Science Teachers. Informatics in Education. 20(1). DOI: https://doi.org/10.15388/infedu.2021.03 (eng).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Delgado, F. &amp; Enríquez-Flores, M. &amp; Jaimes-Nájera, A. (2021). Lessons in the Use of Technology for Science Education during COVID-19 Age under a Teachers’ Collaboration Cluster. Education Sciences. 11. DOI: https://doi.org/10.3390/educsci11090543 (eng).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Dhull, Р. &amp; Verma, G. (2020). Use of Concept Mapping for Teaching Science. The International journal of analytical and experimental modal analysis. XII (III) (eng).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Islim, O. F. (2017). Technology-supported collaborative concept maps in classrooms. Active Learning in Higher Education. 19 (3). DOI: https://doi.org/10.1177/1469787417723231 (eng).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Koehler, M. J. &amp; Mishra, P. &amp; Yahya, K. (2007). Tracing the development of teacher knowledge in a design seminar. Integrating content, pedagogy and technology. Volume 49. Issue 3. DOI: https://doi.org/10.1016/j.compedu.2005.11.012 (eng).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Kolesnyk, S., Makhrovska, N., Pohromska, H. &amp; Rohozhynska, E. (2021). Metodychna rozrobka «Tekhnolohichna karta dystantsiinoho uroku» [Methodical development of the «Technological map of the distance lesson»] Kataloh «Vidkrytyi urok: rozrobky, tekhnolohii, dosvid». Retrieved from: https://urok.osvita.ua/materials/math/tehnologicna-karta-distancijnogo-uroku/ (ukr).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Lunuova, H. S. (Pohromska, H. S.) (2008).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Dydaktychni zasady formuvannia informatsiino-tekhnolohichnykh umin starshoklasnykiv u protsesi navchannia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[Didactic principles of formation of information and technological skills of high school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students in the learning process]. (Candidate’s thesis). Academy of Pedagogical Sciences of Ukraine, Institute of Pedagogy (ukr).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Misfeldt, M. &amp; Tamborg, A. L. &amp; Dreyøe J. &amp; Allsopp B. B. (2019). Tools, rules and teachers: The relationship between curriculum standards and resource systems when teaching mathematics. International Journal of Educational Research. 94. DOI: https:https://doi.org/10.1016/j.ijer.2018.12.001 (eng).</w:t>
      </w:r>
    </w:p>
    <w:p w:rsidR="000353DC" w:rsidRPr="005806EA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Mishra, P. &amp; Koehler, M. (2006). Technological pedagogical content knowledge: A framework for teacher knowledge. Teachers College Record. Volume 108. Issue 6. DOI: https://doi.org/10.1111/j.1467-9620.2006.00684.x (eng).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Nychkalo, N. H., Zaichuk, V. O. &amp; Rozenberh, N. M. et al. (1992).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Pedahohichna knyha maistra vyrobnychoho navchannia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[Pedagogical book of the master of industrial training]. Kyiv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Pohromska, H., Makhrovska, N. &amp; Rohozhynska, E. (2020). Intehratsiia bazovykh idei konstruktyvizmu ta aspektiv vilnoi trudovoi shkoly Ya. Chepihy v innovatsiinyi rozvytok pryrodnycho-matematychnoi osvity [Integration of the basic ideas of constructivism and aspects of the free labor school of J. Chepiga in the innovative development of science and mathematics education].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Veresen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Tom 4, 2–3 (85–86)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Shuliar, V. I. (2012). Suchasnyi urok ukrainskoi literatury: teoriia, metodyka, tekhnolohiia [Modern lesson of Ukrainian literature: theory, methods, technology]. Mykolaiv: Ilion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Smahina, T. M. &amp; Shunevych, O. M. (2021). Dyzain navchalnoho zaniattia v bazovii novii ukrainskii shkoli [The design of an educational lesson in a basic new Ukrainian school].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Innovatsiina pedahohika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41. T. 2, 38–43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Sydorenko, V. &amp; Bilosevych, I. (2005). Hrafichni uminnia yak osnova rozviazuvannia tekhnichnykh zadach [Graphic skills as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basis for solving technical problems].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Trudova pidhotovka v zakladakh osvity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3, 4–8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Tykhonova, T. (2022). Innovatsii v zakladi osvity: sutnist, normatyvne zabezpechennia, metodyka orhanizatsii [Innovations in an educational institution: essence, normative support, methods of organization].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Veresen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Tom 1. (92), 74–83. DOI: https://doi.org/10.54662/veresen.1.2022.06 (ukr).</w:t>
      </w:r>
    </w:p>
    <w:p w:rsidR="000353DC" w:rsidRDefault="005806EA">
      <w:pPr>
        <w:pStyle w:val="af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Tykhonova, T. V. &amp; Slieptsova, I. M. (2003). Orhanizatsiia roboty vchytelia informatyky za modulno-rozvyvalnoiu tekhnolohiieiu navchannia [Organization of the work of a teacher of computer science according to the modular and developmental technology of learning].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Veresen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1, 39–45 (ukr).</w:t>
      </w:r>
    </w:p>
    <w:p w:rsidR="000353DC" w:rsidRDefault="000353DC">
      <w:pPr>
        <w:tabs>
          <w:tab w:val="left" w:pos="900"/>
        </w:tabs>
        <w:spacing w:line="360" w:lineRule="auto"/>
        <w:ind w:firstLine="720"/>
        <w:jc w:val="both"/>
        <w:rPr>
          <w:color w:val="000000"/>
        </w:rPr>
      </w:pPr>
    </w:p>
    <w:sectPr w:rsidR="000353DC">
      <w:pgSz w:w="11906" w:h="16838"/>
      <w:pgMar w:top="992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A24"/>
    <w:multiLevelType w:val="multilevel"/>
    <w:tmpl w:val="E0BC264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A9D7197"/>
    <w:multiLevelType w:val="multilevel"/>
    <w:tmpl w:val="EEA4D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F30B69"/>
    <w:multiLevelType w:val="multilevel"/>
    <w:tmpl w:val="8BC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7BA073C"/>
    <w:multiLevelType w:val="multilevel"/>
    <w:tmpl w:val="6A22F89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B697835"/>
    <w:multiLevelType w:val="multilevel"/>
    <w:tmpl w:val="90D0E3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353DC"/>
    <w:rsid w:val="000353DC"/>
    <w:rsid w:val="001076FE"/>
    <w:rsid w:val="005806EA"/>
    <w:rsid w:val="00586D21"/>
    <w:rsid w:val="007C7356"/>
    <w:rsid w:val="009D7882"/>
    <w:rsid w:val="00D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7AE"/>
  <w15:docId w15:val="{FBF80939-0DF9-42C9-B766-2096BB8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36"/>
    <w:pPr>
      <w:spacing w:line="276" w:lineRule="auto"/>
    </w:pPr>
  </w:style>
  <w:style w:type="paragraph" w:styleId="1">
    <w:name w:val="heading 1"/>
    <w:basedOn w:val="2"/>
    <w:next w:val="2"/>
    <w:qFormat/>
    <w:rsid w:val="00AC68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2"/>
    <w:next w:val="2"/>
    <w:qFormat/>
    <w:rsid w:val="00AC68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2"/>
    <w:next w:val="2"/>
    <w:qFormat/>
    <w:rsid w:val="00AC68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qFormat/>
    <w:rsid w:val="00AC68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qFormat/>
    <w:rsid w:val="00AC683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qFormat/>
    <w:rsid w:val="00AC68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451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55AE"/>
    <w:rPr>
      <w:color w:val="0000FF"/>
      <w:u w:val="single"/>
    </w:rPr>
  </w:style>
  <w:style w:type="character" w:customStyle="1" w:styleId="y2iqfc">
    <w:name w:val="y2iqfc"/>
    <w:basedOn w:val="a0"/>
    <w:qFormat/>
    <w:rsid w:val="00C22C70"/>
  </w:style>
  <w:style w:type="character" w:customStyle="1" w:styleId="HTML">
    <w:name w:val="Стандартный HTML Знак"/>
    <w:basedOn w:val="a0"/>
    <w:link w:val="HTML0"/>
    <w:uiPriority w:val="99"/>
    <w:qFormat/>
    <w:rsid w:val="009B537B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3F612E"/>
    <w:rPr>
      <w:b/>
      <w:bCs/>
    </w:rPr>
  </w:style>
  <w:style w:type="character" w:styleId="a7">
    <w:name w:val="Emphasis"/>
    <w:basedOn w:val="a0"/>
    <w:uiPriority w:val="20"/>
    <w:qFormat/>
    <w:rsid w:val="00941411"/>
    <w:rPr>
      <w:i/>
      <w:iCs/>
    </w:rPr>
  </w:style>
  <w:style w:type="paragraph" w:styleId="a8">
    <w:name w:val="Title"/>
    <w:basedOn w:val="2"/>
    <w:next w:val="2"/>
    <w:qFormat/>
    <w:rsid w:val="00AC683F"/>
    <w:pPr>
      <w:keepNext/>
      <w:keepLines/>
      <w:spacing w:before="240" w:after="60"/>
    </w:pPr>
    <w:rPr>
      <w:sz w:val="52"/>
      <w:szCs w:val="52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</w:style>
  <w:style w:type="paragraph" w:customStyle="1" w:styleId="10">
    <w:name w:val="Обычный1"/>
    <w:qFormat/>
    <w:rsid w:val="00FF37B4"/>
    <w:pPr>
      <w:spacing w:line="276" w:lineRule="auto"/>
    </w:pPr>
  </w:style>
  <w:style w:type="paragraph" w:customStyle="1" w:styleId="2">
    <w:name w:val="Обычный2"/>
    <w:qFormat/>
    <w:rsid w:val="00AC683F"/>
    <w:pPr>
      <w:spacing w:line="276" w:lineRule="auto"/>
    </w:pPr>
  </w:style>
  <w:style w:type="paragraph" w:customStyle="1" w:styleId="30">
    <w:name w:val="Обычный3"/>
    <w:qFormat/>
    <w:rsid w:val="00637C16"/>
    <w:pPr>
      <w:spacing w:line="276" w:lineRule="auto"/>
    </w:pPr>
  </w:style>
  <w:style w:type="paragraph" w:styleId="ad">
    <w:name w:val="Subtitle"/>
    <w:basedOn w:val="2"/>
    <w:next w:val="2"/>
    <w:qFormat/>
    <w:rsid w:val="00B65E98"/>
    <w:pPr>
      <w:keepNext/>
      <w:keepLines/>
      <w:spacing w:after="320"/>
    </w:pPr>
    <w:rPr>
      <w:color w:val="666666"/>
      <w:sz w:val="30"/>
      <w:szCs w:val="30"/>
    </w:rPr>
  </w:style>
  <w:style w:type="paragraph" w:styleId="a4">
    <w:name w:val="Balloon Text"/>
    <w:basedOn w:val="a"/>
    <w:link w:val="a3"/>
    <w:uiPriority w:val="99"/>
    <w:semiHidden/>
    <w:unhideWhenUsed/>
    <w:qFormat/>
    <w:rsid w:val="00D451D8"/>
    <w:pPr>
      <w:spacing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B655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655A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9B5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B65E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65E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37C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F37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AC68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tandfonline.com/author/Ng%2C+Yeow+Ling" TargetMode="External"/><Relationship Id="rId26" Type="http://schemas.openxmlformats.org/officeDocument/2006/relationships/hyperlink" Target="https://www.researchgate.net/profile/Mustafa-Fidan" TargetMode="External"/><Relationship Id="rId39" Type="http://schemas.openxmlformats.org/officeDocument/2006/relationships/hyperlink" Target="https://doi.org/10.1016/j.ijer.2018.12.001" TargetMode="External"/><Relationship Id="rId21" Type="http://schemas.openxmlformats.org/officeDocument/2006/relationships/hyperlink" Target="https://www.tandfonline.com/author/Ng%2C+Yeow+Ling" TargetMode="External"/><Relationship Id="rId34" Type="http://schemas.openxmlformats.org/officeDocument/2006/relationships/hyperlink" Target="https://www.researchgate.net/profile/Omer-Faruk-Isli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hanna.pohromska@moippo.mk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54662/veresen.1.2022.06" TargetMode="External"/><Relationship Id="rId20" Type="http://schemas.openxmlformats.org/officeDocument/2006/relationships/hyperlink" Target="https://www.tandfonline.com/author/Choy%2C+Michael" TargetMode="External"/><Relationship Id="rId29" Type="http://schemas.openxmlformats.org/officeDocument/2006/relationships/hyperlink" Target="https://www.researchgate.net/profile/Mustafa-Fidan" TargetMode="External"/><Relationship Id="rId41" Type="http://schemas.openxmlformats.org/officeDocument/2006/relationships/hyperlink" Target="https://doi.org/10.1080/2331186X.2015.10355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anna.pohromska@moippo.mk.ua" TargetMode="External"/><Relationship Id="rId11" Type="http://schemas.openxmlformats.org/officeDocument/2006/relationships/hyperlink" Target="https://www.tandfonline.com/author/Ng%2C+Yeow+Ling" TargetMode="External"/><Relationship Id="rId24" Type="http://schemas.openxmlformats.org/officeDocument/2006/relationships/hyperlink" Target="https://www.researchgate.net/profile/Murat-Debbag" TargetMode="External"/><Relationship Id="rId32" Type="http://schemas.openxmlformats.org/officeDocument/2006/relationships/hyperlink" Target="https://www.researchgate.net/journal/The-International-journal-of-analytical-and-experimental-modal-analysis-0886-9367" TargetMode="External"/><Relationship Id="rId37" Type="http://schemas.openxmlformats.org/officeDocument/2006/relationships/hyperlink" Target="https://www.sciencedirect.com/journal/international-journal-of-educational-research" TargetMode="External"/><Relationship Id="rId40" Type="http://schemas.openxmlformats.org/officeDocument/2006/relationships/hyperlink" Target="https://doi.org/10.1111/j.1467-9620.2006.00684.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ptember.moippo.mk.ua/index.php/sept/issue/view/september4" TargetMode="External"/><Relationship Id="rId23" Type="http://schemas.openxmlformats.org/officeDocument/2006/relationships/hyperlink" Target="https://doi.org/10.1080/2331186X.2015.1035527" TargetMode="External"/><Relationship Id="rId28" Type="http://schemas.openxmlformats.org/officeDocument/2006/relationships/hyperlink" Target="https://www.researchgate.net/profile/Baris-Cukurbasi" TargetMode="External"/><Relationship Id="rId36" Type="http://schemas.openxmlformats.org/officeDocument/2006/relationships/hyperlink" Target="http://dx.doi.org/10.1177/1469787417723231" TargetMode="External"/><Relationship Id="rId10" Type="http://schemas.openxmlformats.org/officeDocument/2006/relationships/hyperlink" Target="https://www.tandfonline.com/author/Choy%2C+Michael" TargetMode="External"/><Relationship Id="rId19" Type="http://schemas.openxmlformats.org/officeDocument/2006/relationships/hyperlink" Target="https://www.tandfonline.com/author/Wang%2C+Shuyan" TargetMode="External"/><Relationship Id="rId31" Type="http://schemas.openxmlformats.org/officeDocument/2006/relationships/hyperlink" Target="http://dx.doi.org/10.15388/infedu.2021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Murat-Debbag" TargetMode="External"/><Relationship Id="rId14" Type="http://schemas.openxmlformats.org/officeDocument/2006/relationships/hyperlink" Target="https://september.moippo.mk.ua/index.php/sept/article/view/77" TargetMode="External"/><Relationship Id="rId22" Type="http://schemas.openxmlformats.org/officeDocument/2006/relationships/hyperlink" Target="https://www.tandfonline.com/author/Wang%2C+Shuyan" TargetMode="External"/><Relationship Id="rId27" Type="http://schemas.openxmlformats.org/officeDocument/2006/relationships/hyperlink" Target="https://www.researchgate.net/profile/Murat-Debbag" TargetMode="External"/><Relationship Id="rId30" Type="http://schemas.openxmlformats.org/officeDocument/2006/relationships/hyperlink" Target="https://www.researchgate.net/journal/Informatics-in-Education-1648-5831" TargetMode="External"/><Relationship Id="rId35" Type="http://schemas.openxmlformats.org/officeDocument/2006/relationships/hyperlink" Target="https://www.researchgate.net/journal/Active-Learning-in-Higher-Education-1469-787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researchgate.net/publication/340261080_Use_of_Concept_Mapping_for_Teaching_Scien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andfonline.com/author/Wang%2C+Shuyan" TargetMode="External"/><Relationship Id="rId17" Type="http://schemas.openxmlformats.org/officeDocument/2006/relationships/hyperlink" Target="https://www.tandfonline.com/author/Choy%2C+Michael" TargetMode="External"/><Relationship Id="rId25" Type="http://schemas.openxmlformats.org/officeDocument/2006/relationships/hyperlink" Target="https://www.researchgate.net/profile/Baris-Cukurbasi" TargetMode="External"/><Relationship Id="rId33" Type="http://schemas.openxmlformats.org/officeDocument/2006/relationships/hyperlink" Target="https://www.researchgate.net/profile/Omer-Faruk-Islim" TargetMode="External"/><Relationship Id="rId38" Type="http://schemas.openxmlformats.org/officeDocument/2006/relationships/hyperlink" Target="https://www.sciencedirect.com/journal/international-journal-of-educational-research/vol/94/suppl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rOS7LOK5WgLpayTTTHF9fR0KAUw==">AMUW2mWvxwZeseWtRmQrlTm2cdkU+0YaL5B2YcZWBcUOwLj368owCNwJshx586NFfhS1tluCyxL9v+e/QgQ3QpmQrbhF+9jjBrlXRrUnOG80A8FfgpK9k48wNmfv0ei/9d9y+4rXvTlA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Maya</cp:lastModifiedBy>
  <cp:revision>32</cp:revision>
  <dcterms:created xsi:type="dcterms:W3CDTF">2023-05-05T07:28:00Z</dcterms:created>
  <dcterms:modified xsi:type="dcterms:W3CDTF">2023-09-05T18:22:00Z</dcterms:modified>
  <dc:language>uk-UA</dc:language>
</cp:coreProperties>
</file>